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 xml:space="preserve">«Пермская ГРЭС» АО «Интер РАО – </w:t>
      </w:r>
      <w:r w:rsidRPr="003B5E78">
        <w:rPr>
          <w:snapToGrid w:val="0"/>
        </w:rPr>
        <w:lastRenderedPageBreak/>
        <w:t>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6E20F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6E20FC" w:rsidRPr="006E20FC">
        <w:t xml:space="preserve">Услуги </w:t>
      </w:r>
      <w:proofErr w:type="spellStart"/>
      <w:r w:rsidR="006E20FC" w:rsidRPr="006E20FC">
        <w:t>биллинга</w:t>
      </w:r>
      <w:proofErr w:type="spellEnd"/>
      <w:r w:rsidR="006E20FC" w:rsidRPr="006E20FC">
        <w:t xml:space="preserve"> для Пермской ГРЭС</w:t>
      </w:r>
      <w:r w:rsidR="00761E23" w:rsidRPr="003B5E78">
        <w:t>»</w:t>
      </w:r>
    </w:p>
    <w:p w:rsidR="00761E23" w:rsidRPr="006E20FC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6E20FC">
        <w:rPr>
          <w:b/>
        </w:rPr>
        <w:t xml:space="preserve">Объем </w:t>
      </w:r>
      <w:r w:rsidRPr="006E20FC">
        <w:rPr>
          <w:b/>
          <w:snapToGrid w:val="0"/>
        </w:rPr>
        <w:t>оказываемых услуг</w:t>
      </w:r>
      <w:r w:rsidRPr="006E20FC">
        <w:rPr>
          <w:b/>
        </w:rPr>
        <w:t>:</w:t>
      </w:r>
      <w:r w:rsidRPr="006E20FC">
        <w:t xml:space="preserve">  в соответствии с проектом Договора</w:t>
      </w:r>
    </w:p>
    <w:p w:rsidR="00761E23" w:rsidRPr="006E20FC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6E20FC">
        <w:rPr>
          <w:b/>
        </w:rPr>
        <w:t xml:space="preserve">Сроки </w:t>
      </w:r>
      <w:r w:rsidRPr="006E20FC">
        <w:rPr>
          <w:rStyle w:val="FontStyle128"/>
          <w:rFonts w:eastAsiaTheme="majorEastAsia"/>
          <w:b/>
          <w:snapToGrid w:val="0"/>
          <w:sz w:val="24"/>
          <w:szCs w:val="24"/>
        </w:rPr>
        <w:t>оказания услуг</w:t>
      </w:r>
      <w:r w:rsidRPr="006E20FC">
        <w:rPr>
          <w:b/>
        </w:rPr>
        <w:t>:</w:t>
      </w:r>
      <w:bookmarkEnd w:id="9"/>
      <w:bookmarkEnd w:id="10"/>
      <w:bookmarkEnd w:id="11"/>
      <w:r w:rsidRPr="006E20FC">
        <w:t xml:space="preserve"> в соответствии с проектом Договора;</w:t>
      </w:r>
    </w:p>
    <w:p w:rsidR="00761E23" w:rsidRPr="006E20FC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6E20FC">
        <w:rPr>
          <w:b/>
        </w:rPr>
        <w:t>Место</w:t>
      </w:r>
      <w:r w:rsidRPr="006E20FC">
        <w:t xml:space="preserve"> </w:t>
      </w:r>
      <w:r w:rsidRPr="006E20FC">
        <w:rPr>
          <w:rStyle w:val="FontStyle128"/>
          <w:rFonts w:eastAsiaTheme="majorEastAsia"/>
          <w:b/>
          <w:snapToGrid w:val="0"/>
          <w:sz w:val="24"/>
          <w:szCs w:val="24"/>
        </w:rPr>
        <w:t>оказания услуг</w:t>
      </w:r>
      <w:r w:rsidRPr="006E20FC">
        <w:t>:</w:t>
      </w:r>
      <w:bookmarkEnd w:id="12"/>
      <w:bookmarkEnd w:id="13"/>
      <w:bookmarkEnd w:id="14"/>
      <w:r w:rsidRPr="006E20FC">
        <w:t xml:space="preserve"> в соответствии с проектом Договора;</w:t>
      </w:r>
    </w:p>
    <w:p w:rsidR="00881310" w:rsidRPr="006E20FC" w:rsidRDefault="00881310" w:rsidP="006E20F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6E20FC">
        <w:rPr>
          <w:rStyle w:val="FontStyle128"/>
          <w:b/>
          <w:sz w:val="24"/>
          <w:szCs w:val="24"/>
        </w:rPr>
        <w:t>Сведения о начальной (максимальной) цене договора:</w:t>
      </w:r>
      <w:r w:rsidRPr="006E20FC">
        <w:rPr>
          <w:rStyle w:val="FontStyle128"/>
          <w:sz w:val="24"/>
          <w:szCs w:val="24"/>
        </w:rPr>
        <w:t xml:space="preserve"> </w:t>
      </w:r>
      <w:r w:rsidRPr="006E20FC">
        <w:t xml:space="preserve"> </w:t>
      </w:r>
      <w:r w:rsidR="006E20FC" w:rsidRPr="006E20FC">
        <w:rPr>
          <w:bCs/>
          <w:i/>
        </w:rPr>
        <w:t>3 545 103,39</w:t>
      </w:r>
      <w:r w:rsidR="00761E23" w:rsidRPr="006E20FC">
        <w:rPr>
          <w:bCs/>
        </w:rPr>
        <w:t xml:space="preserve"> </w:t>
      </w:r>
      <w:r w:rsidR="00761E23" w:rsidRPr="006E20FC">
        <w:rPr>
          <w:i/>
        </w:rPr>
        <w:t xml:space="preserve"> руб., без НДС.</w:t>
      </w:r>
    </w:p>
    <w:p w:rsidR="00153010" w:rsidRPr="006E20FC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6E20FC">
        <w:rPr>
          <w:rStyle w:val="FontStyle128"/>
          <w:b/>
          <w:sz w:val="24"/>
          <w:szCs w:val="24"/>
        </w:rPr>
        <w:t>Форма, сроки и порядок оплаты:</w:t>
      </w:r>
      <w:r w:rsidRPr="006E20FC">
        <w:rPr>
          <w:i/>
          <w:color w:val="548DD4"/>
        </w:rPr>
        <w:t xml:space="preserve"> </w:t>
      </w:r>
      <w:r w:rsidRPr="006E20FC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6E20FC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6E20FC">
        <w:rPr>
          <w:rStyle w:val="FontStyle128"/>
          <w:b/>
          <w:sz w:val="24"/>
          <w:szCs w:val="24"/>
        </w:rPr>
        <w:t>Порядок формирования цены договора:</w:t>
      </w:r>
      <w:r w:rsidRPr="006E20FC">
        <w:rPr>
          <w:rStyle w:val="FontStyle128"/>
          <w:sz w:val="24"/>
          <w:szCs w:val="24"/>
        </w:rPr>
        <w:t xml:space="preserve"> </w:t>
      </w:r>
      <w:r w:rsidRPr="006E20FC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6E20FC">
        <w:t>т.ч</w:t>
      </w:r>
      <w:proofErr w:type="spellEnd"/>
      <w:r w:rsidRPr="006E20FC">
        <w:t>. гарантийного срока эксплуатации товара и другие затраты</w:t>
      </w:r>
      <w:r w:rsidR="00761E23" w:rsidRPr="006E20FC">
        <w:t>.</w:t>
      </w:r>
    </w:p>
    <w:p w:rsidR="00EA18A4" w:rsidRPr="006E20FC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6E20FC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6E20FC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6E20FC">
        <w:rPr>
          <w:rStyle w:val="FontStyle128"/>
          <w:b/>
          <w:sz w:val="24"/>
          <w:szCs w:val="24"/>
        </w:rPr>
        <w:t>:</w:t>
      </w:r>
      <w:r w:rsidRPr="006E20FC">
        <w:rPr>
          <w:rStyle w:val="FontStyle128"/>
          <w:sz w:val="24"/>
          <w:szCs w:val="24"/>
        </w:rPr>
        <w:t xml:space="preserve"> </w:t>
      </w:r>
      <w:r w:rsidR="00761E23" w:rsidRPr="006E20FC">
        <w:rPr>
          <w:i/>
        </w:rPr>
        <w:t>не</w:t>
      </w:r>
      <w:r w:rsidR="00F434BD" w:rsidRPr="006E20FC">
        <w:rPr>
          <w:i/>
        </w:rPr>
        <w:t xml:space="preserve"> применяется</w:t>
      </w:r>
      <w:r w:rsidR="00761E23" w:rsidRPr="006E20FC">
        <w:rPr>
          <w:i/>
        </w:rPr>
        <w:t>.</w:t>
      </w:r>
    </w:p>
    <w:p w:rsidR="00881310" w:rsidRPr="006E20FC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6E20FC">
        <w:rPr>
          <w:rStyle w:val="FontStyle128"/>
          <w:b/>
          <w:sz w:val="24"/>
          <w:szCs w:val="24"/>
        </w:rPr>
        <w:t>Требования, предъявляемые к оказываемым услугам:</w:t>
      </w:r>
      <w:r w:rsidRPr="006E20FC">
        <w:rPr>
          <w:rStyle w:val="FontStyle128"/>
          <w:sz w:val="24"/>
          <w:szCs w:val="24"/>
        </w:rPr>
        <w:t xml:space="preserve"> </w:t>
      </w:r>
      <w:r w:rsidR="005C5706" w:rsidRPr="006E20FC">
        <w:rPr>
          <w:rStyle w:val="FontStyle128"/>
          <w:sz w:val="24"/>
          <w:szCs w:val="24"/>
        </w:rPr>
        <w:t>в соответствии с проектом договора</w:t>
      </w:r>
      <w:r w:rsidR="00592D5A" w:rsidRPr="006E20FC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6E20FC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6E20FC">
        <w:rPr>
          <w:rStyle w:val="FontStyle128"/>
          <w:b/>
          <w:sz w:val="24"/>
          <w:szCs w:val="24"/>
        </w:rPr>
        <w:t>:</w:t>
      </w:r>
      <w:r w:rsidRPr="006E20FC">
        <w:rPr>
          <w:rStyle w:val="FontStyle128"/>
          <w:sz w:val="24"/>
          <w:szCs w:val="24"/>
        </w:rPr>
        <w:t xml:space="preserve"> </w:t>
      </w:r>
      <w:r w:rsidR="00F434BD" w:rsidRPr="006E20FC">
        <w:rPr>
          <w:rStyle w:val="FontStyle128"/>
          <w:i/>
          <w:sz w:val="24"/>
          <w:szCs w:val="24"/>
        </w:rPr>
        <w:t>н</w:t>
      </w:r>
      <w:r w:rsidRPr="006E20FC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 xml:space="preserve">Место подачи,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lastRenderedPageBreak/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5C4BC4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5C4BC4">
        <w:rPr>
          <w:b/>
        </w:rPr>
        <w:t>Обеспечение исполнения договора и/или возврата аванса и/или гарантийных обязательств:</w:t>
      </w:r>
      <w:r w:rsidR="00761E23" w:rsidRPr="005C4BC4">
        <w:rPr>
          <w:b/>
        </w:rPr>
        <w:t xml:space="preserve"> </w:t>
      </w:r>
      <w:r w:rsidRPr="005C4BC4">
        <w:rPr>
          <w:i/>
        </w:rPr>
        <w:t>не установлено</w:t>
      </w:r>
      <w:r w:rsidR="00761E23" w:rsidRPr="005C4BC4">
        <w:rPr>
          <w:i/>
        </w:rPr>
        <w:t>.</w:t>
      </w:r>
    </w:p>
    <w:p w:rsidR="00830285" w:rsidRPr="005C4BC4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5C4BC4">
        <w:rPr>
          <w:rStyle w:val="FontStyle128"/>
          <w:b/>
          <w:sz w:val="24"/>
          <w:szCs w:val="24"/>
        </w:rPr>
        <w:t>Валюта закупки:</w:t>
      </w:r>
      <w:r w:rsidRPr="005C4BC4">
        <w:rPr>
          <w:rStyle w:val="FontStyle128"/>
          <w:sz w:val="24"/>
          <w:szCs w:val="24"/>
        </w:rPr>
        <w:t xml:space="preserve"> </w:t>
      </w:r>
      <w:r w:rsidR="00761E23" w:rsidRPr="005C4BC4">
        <w:rPr>
          <w:i/>
        </w:rPr>
        <w:t>рубль РФ.</w:t>
      </w:r>
    </w:p>
    <w:p w:rsidR="00167138" w:rsidRPr="005C4BC4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5C4BC4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5C4BC4">
        <w:rPr>
          <w:i/>
        </w:rPr>
        <w:t>не допускается</w:t>
      </w:r>
      <w:r w:rsidR="00761E23" w:rsidRPr="005C4BC4">
        <w:rPr>
          <w:i/>
        </w:rPr>
        <w:t>.</w:t>
      </w:r>
    </w:p>
    <w:p w:rsidR="00521FD2" w:rsidRPr="005C4BC4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5C4BC4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5C4BC4">
        <w:rPr>
          <w:rStyle w:val="FontStyle128"/>
          <w:b/>
          <w:color w:val="auto"/>
          <w:sz w:val="24"/>
          <w:szCs w:val="24"/>
        </w:rPr>
        <w:t>:</w:t>
      </w:r>
      <w:r w:rsidR="00D02AD5" w:rsidRPr="005C4BC4">
        <w:rPr>
          <w:rStyle w:val="FontStyle128"/>
          <w:color w:val="auto"/>
          <w:sz w:val="24"/>
          <w:szCs w:val="24"/>
        </w:rPr>
        <w:t xml:space="preserve"> </w:t>
      </w:r>
      <w:r w:rsidR="00D02AD5" w:rsidRPr="005C4BC4">
        <w:rPr>
          <w:i/>
        </w:rPr>
        <w:t>не допускается</w:t>
      </w:r>
      <w:r w:rsidR="00761E23" w:rsidRPr="005C4BC4">
        <w:rPr>
          <w:i/>
        </w:rPr>
        <w:t>.</w:t>
      </w:r>
    </w:p>
    <w:p w:rsidR="00D02AD5" w:rsidRPr="005C4BC4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C4BC4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5C4BC4">
        <w:rPr>
          <w:rStyle w:val="FontStyle128"/>
          <w:sz w:val="24"/>
          <w:szCs w:val="24"/>
        </w:rPr>
        <w:t xml:space="preserve"> </w:t>
      </w:r>
      <w:r w:rsidR="00F434BD" w:rsidRPr="005C4BC4">
        <w:rPr>
          <w:i/>
        </w:rPr>
        <w:t>не применяется</w:t>
      </w:r>
    </w:p>
    <w:p w:rsidR="006D5526" w:rsidRPr="003B5E78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r w:rsidRPr="003B5E78">
        <w:rPr>
          <w:b/>
        </w:rPr>
        <w:t xml:space="preserve">Иные </w:t>
      </w:r>
      <w:r w:rsidR="00DE65E8" w:rsidRPr="003B5E78">
        <w:rPr>
          <w:b/>
        </w:rPr>
        <w:t xml:space="preserve">условия </w:t>
      </w:r>
      <w:r w:rsidR="00E03ECB" w:rsidRPr="003B5E78">
        <w:rPr>
          <w:b/>
        </w:rPr>
        <w:t>закупки</w:t>
      </w:r>
      <w:r w:rsidR="00B12BA7" w:rsidRPr="003B5E78">
        <w:rPr>
          <w:b/>
        </w:rPr>
        <w:t xml:space="preserve"> </w:t>
      </w:r>
      <w:r w:rsidR="00DE65E8" w:rsidRPr="003B5E78">
        <w:rPr>
          <w:b/>
        </w:rPr>
        <w:t xml:space="preserve">содержатся в </w:t>
      </w:r>
      <w:r w:rsidRPr="003B5E78">
        <w:rPr>
          <w:b/>
        </w:rPr>
        <w:t>проекте договора</w:t>
      </w:r>
      <w:r w:rsidR="006D5526" w:rsidRPr="003B5E78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  <w:bookmarkStart w:id="15" w:name="_GoBack"/>
      <w:bookmarkEnd w:id="15"/>
    </w:p>
    <w:sectPr w:rsidR="003B5E78" w:rsidRPr="003B5E78" w:rsidSect="005527AD"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5E" w:rsidRDefault="00F4455E">
      <w:r>
        <w:separator/>
      </w:r>
    </w:p>
  </w:endnote>
  <w:endnote w:type="continuationSeparator" w:id="0">
    <w:p w:rsidR="00F4455E" w:rsidRDefault="00F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27D4C8" wp14:editId="3E1ABA6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</w:t>
        </w:r>
        <w:r w:rsidRPr="005C4BC4">
          <w:rPr>
            <w:i/>
          </w:rPr>
          <w:t>закупке у единственного поставщика, на право заключения договора на оказание услуг: «</w:t>
        </w:r>
        <w:r w:rsidR="006E20FC" w:rsidRPr="005C4BC4">
          <w:rPr>
            <w:i/>
          </w:rPr>
          <w:t xml:space="preserve">Услуги </w:t>
        </w:r>
        <w:proofErr w:type="spellStart"/>
        <w:r w:rsidR="006E20FC" w:rsidRPr="005C4BC4">
          <w:rPr>
            <w:i/>
          </w:rPr>
          <w:t>биллинга</w:t>
        </w:r>
        <w:proofErr w:type="spellEnd"/>
        <w:r w:rsidRPr="005C4BC4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C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C90946" wp14:editId="2175898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6E20FC">
          <w:rPr>
            <w:i/>
          </w:rPr>
          <w:t>Закупочная документация по закупке у единственного поставщика, на право заключения договора на оказание услуг: «</w:t>
        </w:r>
        <w:r w:rsidR="006E20FC" w:rsidRPr="006E20FC">
          <w:rPr>
            <w:i/>
          </w:rPr>
          <w:t xml:space="preserve">Услуги </w:t>
        </w:r>
        <w:proofErr w:type="spellStart"/>
        <w:r w:rsidR="006E20FC" w:rsidRPr="006E20FC">
          <w:rPr>
            <w:i/>
          </w:rPr>
          <w:t>биллинга</w:t>
        </w:r>
        <w:proofErr w:type="spellEnd"/>
        <w:r w:rsidRPr="006E20FC">
          <w:rPr>
            <w:i/>
          </w:rPr>
          <w:t>»</w:t>
        </w:r>
        <w:r w:rsidRPr="006E20FC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5E" w:rsidRDefault="00F4455E">
      <w:r>
        <w:separator/>
      </w:r>
    </w:p>
  </w:footnote>
  <w:footnote w:type="continuationSeparator" w:id="0">
    <w:p w:rsidR="00F4455E" w:rsidRDefault="00F4455E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3B823C24" wp14:editId="0E4A126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4BC4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20FC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7F0DF3"/>
    <w:rsid w:val="00814B9E"/>
    <w:rsid w:val="00820F4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455E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3888-A1D1-493F-86C7-9F91873C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19</cp:revision>
  <cp:lastPrinted>2012-02-06T04:25:00Z</cp:lastPrinted>
  <dcterms:created xsi:type="dcterms:W3CDTF">2017-07-19T12:31:00Z</dcterms:created>
  <dcterms:modified xsi:type="dcterms:W3CDTF">2018-04-23T06:04:00Z</dcterms:modified>
</cp:coreProperties>
</file>