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9F2D45">
        <w:rPr>
          <w:color w:val="000000"/>
        </w:rPr>
        <w:t>не</w:t>
      </w:r>
      <w:r w:rsidRPr="00E41BE2">
        <w:rPr>
          <w:color w:val="000000"/>
        </w:rPr>
        <w:t>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9F2D45">
        <w:rPr>
          <w:b w:val="0"/>
          <w:sz w:val="24"/>
        </w:rPr>
        <w:t>недвижимого имущества</w:t>
      </w:r>
      <w:r w:rsidR="00E823C7">
        <w:rPr>
          <w:b w:val="0"/>
          <w:sz w:val="24"/>
        </w:rPr>
        <w:t xml:space="preserve"> (далее – Объекты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9F2D45" w:rsidRPr="009F2D45">
        <w:rPr>
          <w:b w:val="0"/>
          <w:sz w:val="24"/>
        </w:rPr>
        <w:t>здание прачечной с земельным участком, в границах которого расположена прачечная</w:t>
      </w:r>
      <w:r w:rsidR="00E823C7">
        <w:rPr>
          <w:b w:val="0"/>
          <w:sz w:val="24"/>
        </w:rPr>
        <w:t>:</w:t>
      </w:r>
    </w:p>
    <w:p w:rsidR="00E823C7" w:rsidRPr="00E823C7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>
        <w:rPr>
          <w:rFonts w:ascii="Times New Roman" w:hAnsi="Times New Roman"/>
        </w:rPr>
        <w:t xml:space="preserve"> </w:t>
      </w:r>
      <w:r w:rsidR="00E823C7">
        <w:rPr>
          <w:rFonts w:ascii="Times New Roman" w:hAnsi="Times New Roman"/>
        </w:rPr>
        <w:t>(по лотам):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826"/>
        <w:gridCol w:w="1736"/>
        <w:gridCol w:w="4785"/>
        <w:gridCol w:w="1559"/>
        <w:gridCol w:w="3260"/>
      </w:tblGrid>
      <w:tr w:rsidR="009F2D45" w:rsidRPr="00984FC0" w:rsidTr="00E00DFE">
        <w:tc>
          <w:tcPr>
            <w:tcW w:w="675" w:type="dxa"/>
            <w:vAlign w:val="center"/>
          </w:tcPr>
          <w:p w:rsidR="009F2D45" w:rsidRPr="00EC7E12" w:rsidRDefault="009F2D45" w:rsidP="009F2D45">
            <w:pPr>
              <w:pStyle w:val="a5"/>
              <w:numPr>
                <w:ilvl w:val="0"/>
                <w:numId w:val="1"/>
              </w:num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6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785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3260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9F2D45" w:rsidRPr="00984FC0" w:rsidTr="00E00DFE">
        <w:tc>
          <w:tcPr>
            <w:tcW w:w="675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9F2D45" w:rsidRPr="004E6E85" w:rsidRDefault="009F2D45" w:rsidP="00E00DFE">
            <w:pPr>
              <w:jc w:val="center"/>
            </w:pPr>
          </w:p>
        </w:tc>
        <w:tc>
          <w:tcPr>
            <w:tcW w:w="2826" w:type="dxa"/>
            <w:vAlign w:val="center"/>
          </w:tcPr>
          <w:p w:rsidR="009F2D45" w:rsidRPr="00892E95" w:rsidRDefault="009F2D45" w:rsidP="00E00DFE">
            <w:pPr>
              <w:jc w:val="center"/>
            </w:pPr>
            <w:r>
              <w:t>Здание прачечной с земельным участком, в границах которого расположена прачечная</w:t>
            </w:r>
          </w:p>
        </w:tc>
        <w:tc>
          <w:tcPr>
            <w:tcW w:w="1736" w:type="dxa"/>
            <w:vAlign w:val="center"/>
          </w:tcPr>
          <w:p w:rsidR="009F2D45" w:rsidRPr="00892E95" w:rsidRDefault="009F2D45" w:rsidP="00E00DFE">
            <w:pPr>
              <w:suppressAutoHyphens/>
              <w:jc w:val="center"/>
            </w:pPr>
          </w:p>
        </w:tc>
        <w:tc>
          <w:tcPr>
            <w:tcW w:w="4785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F2D45" w:rsidRPr="00984FC0" w:rsidRDefault="009F2D45" w:rsidP="00E00DFE">
            <w:pPr>
              <w:spacing w:before="60" w:after="60"/>
              <w:jc w:val="center"/>
            </w:pPr>
            <w:r>
              <w:t>542 983,05</w:t>
            </w:r>
          </w:p>
        </w:tc>
        <w:tc>
          <w:tcPr>
            <w:tcW w:w="3260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 w:rsidRPr="008D2969">
              <w:rPr>
                <w:b/>
              </w:rPr>
              <w:t>608 500,00</w:t>
            </w:r>
            <w:r>
              <w:t xml:space="preserve"> руб., в </w:t>
            </w:r>
            <w:proofErr w:type="spellStart"/>
            <w:r>
              <w:t>т.ч</w:t>
            </w:r>
            <w:proofErr w:type="spellEnd"/>
            <w:r>
              <w:t>. НДС(18%) -   65 516,95 руб.</w:t>
            </w:r>
          </w:p>
          <w:p w:rsidR="009F2D45" w:rsidRPr="00984FC0" w:rsidRDefault="009F2D45" w:rsidP="00F86413">
            <w:pPr>
              <w:spacing w:before="60" w:after="60"/>
              <w:jc w:val="center"/>
            </w:pPr>
            <w:r>
              <w:t>(</w:t>
            </w:r>
            <w:r w:rsidRPr="008D2969">
              <w:t>стоимость земельн</w:t>
            </w:r>
            <w:r w:rsidR="00F86413">
              <w:t>ого</w:t>
            </w:r>
            <w:r w:rsidRPr="008D2969">
              <w:t xml:space="preserve"> участк</w:t>
            </w:r>
            <w:r w:rsidR="00F86413">
              <w:t>а</w:t>
            </w:r>
            <w:bookmarkStart w:id="0" w:name="_GoBack"/>
            <w:bookmarkEnd w:id="0"/>
            <w:r w:rsidRPr="008D2969">
              <w:t xml:space="preserve"> НДС не облагается</w:t>
            </w:r>
            <w:r>
              <w:t>)</w:t>
            </w:r>
          </w:p>
        </w:tc>
      </w:tr>
      <w:tr w:rsidR="009F2D45" w:rsidTr="00E00DFE">
        <w:tc>
          <w:tcPr>
            <w:tcW w:w="675" w:type="dxa"/>
            <w:shd w:val="clear" w:color="auto" w:fill="D9D9D9"/>
            <w:vAlign w:val="center"/>
          </w:tcPr>
          <w:p w:rsidR="009F2D45" w:rsidRPr="0095002A" w:rsidRDefault="009F2D45" w:rsidP="00E00DFE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9F2D45" w:rsidRPr="004E6E85" w:rsidRDefault="009F2D45" w:rsidP="00E00DFE">
            <w:pPr>
              <w:jc w:val="center"/>
            </w:pPr>
            <w:r>
              <w:t>1.1.</w:t>
            </w:r>
          </w:p>
        </w:tc>
        <w:tc>
          <w:tcPr>
            <w:tcW w:w="2826" w:type="dxa"/>
            <w:vAlign w:val="center"/>
          </w:tcPr>
          <w:p w:rsidR="009F2D45" w:rsidRPr="00AE7B8C" w:rsidRDefault="009F2D45" w:rsidP="00E00DFE">
            <w:pPr>
              <w:jc w:val="center"/>
            </w:pPr>
            <w:r>
              <w:t>Прачечная</w:t>
            </w:r>
          </w:p>
        </w:tc>
        <w:tc>
          <w:tcPr>
            <w:tcW w:w="1736" w:type="dxa"/>
            <w:vAlign w:val="center"/>
          </w:tcPr>
          <w:p w:rsidR="009F2D45" w:rsidRPr="00263BD9" w:rsidRDefault="009F2D45" w:rsidP="00E00DFE">
            <w:pPr>
              <w:suppressAutoHyphens/>
              <w:jc w:val="center"/>
            </w:pPr>
            <w:r>
              <w:t>611000036000</w:t>
            </w:r>
          </w:p>
        </w:tc>
        <w:tc>
          <w:tcPr>
            <w:tcW w:w="4785" w:type="dxa"/>
            <w:vAlign w:val="center"/>
          </w:tcPr>
          <w:p w:rsidR="009F2D45" w:rsidRDefault="009F2D45" w:rsidP="00E00DFE">
            <w:r>
              <w:t>Площадь объекта: 116,5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9F2D45" w:rsidRDefault="009F2D45" w:rsidP="00E00DFE">
            <w:r>
              <w:t>Адрес местоположения: Оренбургская область, Новоорский район, п. Энергетик, д. 46;</w:t>
            </w:r>
          </w:p>
          <w:p w:rsidR="009F2D45" w:rsidRDefault="009F2D45" w:rsidP="00E00DFE">
            <w:r>
              <w:t>Кадастровый номер: 56:18:0000000:2126;</w:t>
            </w:r>
          </w:p>
          <w:p w:rsidR="009F2D45" w:rsidRDefault="009F2D45" w:rsidP="00E00DFE">
            <w:r>
              <w:t>Год ввода в эксплуатацию: 2000г.;</w:t>
            </w:r>
          </w:p>
          <w:p w:rsidR="009F2D45" w:rsidRDefault="009F2D45" w:rsidP="00E00DFE">
            <w:r>
              <w:t>Назначение: нежилое;</w:t>
            </w:r>
          </w:p>
          <w:p w:rsidR="009F2D45" w:rsidRDefault="009F2D45" w:rsidP="00E00DFE">
            <w:r>
              <w:t>Этажность: 1;</w:t>
            </w:r>
          </w:p>
          <w:p w:rsidR="009F2D45" w:rsidRDefault="009F2D45" w:rsidP="00E00DFE">
            <w:r>
              <w:lastRenderedPageBreak/>
              <w:t>Фундамент: бетонные блоки;</w:t>
            </w:r>
          </w:p>
          <w:p w:rsidR="009F2D45" w:rsidRDefault="009F2D45" w:rsidP="00E00DFE">
            <w:r>
              <w:t>Стены и их наружная отделка: кирпичные;</w:t>
            </w:r>
          </w:p>
          <w:p w:rsidR="009F2D45" w:rsidRDefault="009F2D45" w:rsidP="00E00DFE">
            <w:r>
              <w:t>Перегородки: кирпичные;</w:t>
            </w:r>
          </w:p>
          <w:p w:rsidR="009F2D45" w:rsidRDefault="009F2D45" w:rsidP="00E00DFE">
            <w:r>
              <w:t xml:space="preserve">Перекрытия: </w:t>
            </w:r>
            <w:proofErr w:type="gramStart"/>
            <w:r>
              <w:t>ж/б</w:t>
            </w:r>
            <w:proofErr w:type="gramEnd"/>
            <w:r>
              <w:t xml:space="preserve"> плиты;</w:t>
            </w:r>
          </w:p>
          <w:p w:rsidR="009F2D45" w:rsidRDefault="009F2D45" w:rsidP="00E00DFE">
            <w:r>
              <w:t>Кровля: рулонная;</w:t>
            </w:r>
          </w:p>
          <w:p w:rsidR="009F2D45" w:rsidRDefault="009F2D45" w:rsidP="00E00DFE">
            <w:r>
              <w:t>Полы: бетонные;</w:t>
            </w:r>
          </w:p>
          <w:p w:rsidR="009F2D45" w:rsidRDefault="009F2D45" w:rsidP="00E00DFE">
            <w:r>
              <w:t>Проемы: оконные – 2-е глухие; дверные – филенчатые, металлические;</w:t>
            </w:r>
          </w:p>
          <w:p w:rsidR="009F2D45" w:rsidRDefault="009F2D45" w:rsidP="00E00DFE">
            <w:r>
              <w:t>Внутренняя отделка: оштукатурено, окрашено;</w:t>
            </w:r>
          </w:p>
          <w:p w:rsidR="009F2D45" w:rsidRDefault="009F2D45" w:rsidP="00E00DFE">
            <w:r>
              <w:t xml:space="preserve">Прочие работы: </w:t>
            </w:r>
            <w:proofErr w:type="spellStart"/>
            <w:r>
              <w:t>отмостки</w:t>
            </w:r>
            <w:proofErr w:type="spellEnd"/>
            <w:r>
              <w:t>, крыльца</w:t>
            </w:r>
          </w:p>
          <w:p w:rsidR="009F2D45" w:rsidRPr="005C7F2D" w:rsidRDefault="009F2D45" w:rsidP="00E00DFE">
            <w:r>
              <w:t>Техническое состояние: 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lastRenderedPageBreak/>
              <w:t>363 983,05</w:t>
            </w:r>
          </w:p>
        </w:tc>
        <w:tc>
          <w:tcPr>
            <w:tcW w:w="3260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t>429 500,00</w:t>
            </w:r>
          </w:p>
        </w:tc>
      </w:tr>
      <w:tr w:rsidR="009F2D45" w:rsidTr="00E00DFE">
        <w:tc>
          <w:tcPr>
            <w:tcW w:w="675" w:type="dxa"/>
            <w:shd w:val="clear" w:color="auto" w:fill="D9D9D9"/>
            <w:vAlign w:val="center"/>
          </w:tcPr>
          <w:p w:rsidR="009F2D45" w:rsidRPr="0095002A" w:rsidRDefault="009F2D45" w:rsidP="00E00DFE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9F2D45" w:rsidRDefault="009F2D45" w:rsidP="00E00DFE">
            <w:pPr>
              <w:jc w:val="center"/>
            </w:pPr>
            <w:r>
              <w:t>1.2.</w:t>
            </w:r>
          </w:p>
        </w:tc>
        <w:tc>
          <w:tcPr>
            <w:tcW w:w="2826" w:type="dxa"/>
            <w:vAlign w:val="center"/>
          </w:tcPr>
          <w:p w:rsidR="009F2D45" w:rsidRPr="00AE7B8C" w:rsidRDefault="009F2D45" w:rsidP="00E00DFE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9F2D45" w:rsidRDefault="009F2D45" w:rsidP="00E00DFE">
            <w:pPr>
              <w:suppressAutoHyphens/>
              <w:jc w:val="center"/>
            </w:pPr>
            <w:r>
              <w:t>06/000048</w:t>
            </w:r>
          </w:p>
        </w:tc>
        <w:tc>
          <w:tcPr>
            <w:tcW w:w="4785" w:type="dxa"/>
            <w:vAlign w:val="center"/>
          </w:tcPr>
          <w:p w:rsidR="009F2D45" w:rsidRDefault="009F2D45" w:rsidP="00E00DFE">
            <w:r>
              <w:t>Площадь объекта: 661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9F2D45" w:rsidRDefault="009F2D45" w:rsidP="00E00DFE">
            <w:r>
              <w:t>Адрес местоположения: Оренбургская область, Новоорский район, п. Энергетик в 430 м северо-восточнее здания почты;</w:t>
            </w:r>
          </w:p>
          <w:p w:rsidR="009F2D45" w:rsidRDefault="009F2D45" w:rsidP="00E00DFE">
            <w:r>
              <w:t>Кадастровый номер: 56:18:0901003:0013;</w:t>
            </w:r>
          </w:p>
          <w:p w:rsidR="009F2D45" w:rsidRDefault="009F2D45" w:rsidP="00E00DFE">
            <w:r>
              <w:t>Категория земель: земли населенных пунктов;</w:t>
            </w:r>
          </w:p>
          <w:p w:rsidR="009F2D45" w:rsidRDefault="009F2D45" w:rsidP="00E00DFE">
            <w:r>
              <w:t>Разрешенное использование: для размещения прачечной</w:t>
            </w:r>
          </w:p>
        </w:tc>
        <w:tc>
          <w:tcPr>
            <w:tcW w:w="1559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t>179 000,00</w:t>
            </w:r>
          </w:p>
        </w:tc>
        <w:tc>
          <w:tcPr>
            <w:tcW w:w="3260" w:type="dxa"/>
            <w:vAlign w:val="center"/>
          </w:tcPr>
          <w:p w:rsidR="009F2D45" w:rsidRDefault="009F2D45" w:rsidP="00E00DFE">
            <w:pPr>
              <w:spacing w:before="60" w:after="60"/>
              <w:jc w:val="center"/>
            </w:pPr>
            <w:r>
              <w:t>179 000,00*</w:t>
            </w:r>
          </w:p>
        </w:tc>
      </w:tr>
    </w:tbl>
    <w:p w:rsidR="00E41BE2" w:rsidRPr="00E823C7" w:rsidRDefault="009F2D45" w:rsidP="00737F19">
      <w:pPr>
        <w:ind w:left="360"/>
        <w:rPr>
          <w:i/>
          <w:color w:val="000000"/>
          <w:u w:val="single"/>
        </w:rPr>
      </w:pPr>
      <w:r>
        <w:t xml:space="preserve">*В соответствии с </w:t>
      </w:r>
      <w:proofErr w:type="spellStart"/>
      <w:r>
        <w:t>пп</w:t>
      </w:r>
      <w:proofErr w:type="spellEnd"/>
      <w:r>
        <w:t>. 6  п.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p w:rsidR="000600A8" w:rsidRPr="00737F19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737F19">
        <w:t xml:space="preserve">Организатор Запроса: </w:t>
      </w:r>
      <w:r w:rsidR="000600A8" w:rsidRPr="00737F19">
        <w:rPr>
          <w:bCs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P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600A8" w:rsidRPr="00F86413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>, тел. 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</w:t>
      </w:r>
      <w:proofErr w:type="gramStart"/>
      <w:r w:rsidR="000600A8" w:rsidRPr="000600A8">
        <w:rPr>
          <w:bCs/>
        </w:rPr>
        <w:t>.п</w:t>
      </w:r>
      <w:proofErr w:type="gramEnd"/>
      <w:r w:rsidR="000600A8" w:rsidRPr="000600A8">
        <w:rPr>
          <w:bCs/>
        </w:rPr>
        <w:t>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9F2D45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 xml:space="preserve">Кумзина Татьяна Александровна, тел. (35363) 51-269,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</w:t>
      </w:r>
      <w:proofErr w:type="gramStart"/>
      <w:r w:rsidRPr="000600A8">
        <w:rPr>
          <w:bCs/>
        </w:rPr>
        <w:t>.п</w:t>
      </w:r>
      <w:proofErr w:type="gramEnd"/>
      <w:r w:rsidRPr="000600A8">
        <w:rPr>
          <w:bCs/>
        </w:rPr>
        <w:t>очты</w:t>
      </w:r>
      <w:proofErr w:type="spellEnd"/>
      <w:r w:rsidRPr="000600A8">
        <w:rPr>
          <w:bCs/>
        </w:rPr>
        <w:t xml:space="preserve">: </w:t>
      </w:r>
      <w:hyperlink r:id="rId9" w:history="1">
        <w:r w:rsidRPr="009F2D45">
          <w:t xml:space="preserve"> </w:t>
        </w:r>
        <w:r w:rsidRPr="009F2D45">
          <w:rPr>
            <w:rStyle w:val="a6"/>
            <w:bCs/>
            <w:lang w:val="en-US"/>
          </w:rPr>
          <w:t>kumzina</w:t>
        </w:r>
        <w:r w:rsidRPr="009F2D45">
          <w:rPr>
            <w:rStyle w:val="a6"/>
            <w:bCs/>
          </w:rPr>
          <w:t>_</w:t>
        </w:r>
        <w:r w:rsidRPr="009F2D45">
          <w:rPr>
            <w:rStyle w:val="a6"/>
            <w:bCs/>
            <w:lang w:val="en-US"/>
          </w:rPr>
          <w:t>ta</w:t>
        </w:r>
        <w:r w:rsidRPr="009F2D45">
          <w:rPr>
            <w:rStyle w:val="a6"/>
            <w:bCs/>
          </w:rPr>
          <w:t>@</w:t>
        </w:r>
        <w:r w:rsidRPr="009F2D45">
          <w:rPr>
            <w:rStyle w:val="a6"/>
            <w:bCs/>
            <w:lang w:val="en-US"/>
          </w:rPr>
          <w:t>interrao</w:t>
        </w:r>
        <w:r w:rsidRPr="009F2D45">
          <w:rPr>
            <w:rStyle w:val="a6"/>
            <w:bCs/>
          </w:rPr>
          <w:t>.</w:t>
        </w:r>
        <w:proofErr w:type="spellStart"/>
        <w:r w:rsidRPr="009F2D45">
          <w:rPr>
            <w:rStyle w:val="a6"/>
            <w:bCs/>
            <w:lang w:val="en-US"/>
          </w:rPr>
          <w:t>ru</w:t>
        </w:r>
        <w:proofErr w:type="spellEnd"/>
      </w:hyperlink>
      <w:r w:rsidRPr="000600A8">
        <w:rPr>
          <w:bCs/>
        </w:rPr>
        <w:t>,</w:t>
      </w:r>
    </w:p>
    <w:p w:rsidR="009F2D45" w:rsidRPr="009F2D45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(35363) 51-400, адрес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.п</w:t>
      </w:r>
      <w:proofErr w:type="gramEnd"/>
      <w:r>
        <w:rPr>
          <w:bCs/>
        </w:rPr>
        <w:t>очты</w:t>
      </w:r>
      <w:proofErr w:type="spellEnd"/>
      <w:r>
        <w:rPr>
          <w:bCs/>
        </w:rPr>
        <w:t xml:space="preserve">: </w:t>
      </w:r>
      <w:hyperlink r:id="rId10" w:history="1">
        <w:r w:rsidRPr="009F2D45">
          <w:rPr>
            <w:rStyle w:val="a6"/>
            <w:bCs/>
          </w:rPr>
          <w:t>kratiy_ga@interrao.ru</w:t>
        </w:r>
      </w:hyperlink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1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</w:t>
      </w:r>
      <w:r w:rsidR="009F2D45">
        <w:rPr>
          <w:rFonts w:ascii="Times New Roman" w:hAnsi="Times New Roman"/>
          <w:color w:val="000000"/>
        </w:rPr>
        <w:t>не</w:t>
      </w:r>
      <w:r w:rsidR="00494A45">
        <w:rPr>
          <w:rFonts w:ascii="Times New Roman" w:hAnsi="Times New Roman"/>
          <w:color w:val="000000"/>
        </w:rPr>
        <w:t>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9F2D45">
        <w:rPr>
          <w:rFonts w:ascii="Times New Roman" w:hAnsi="Times New Roman"/>
          <w:b/>
        </w:rPr>
        <w:t>11</w:t>
      </w:r>
      <w:r w:rsidR="000600A8" w:rsidRPr="00D83112">
        <w:rPr>
          <w:rFonts w:ascii="Times New Roman" w:hAnsi="Times New Roman"/>
          <w:b/>
        </w:rPr>
        <w:t>.</w:t>
      </w:r>
      <w:r w:rsidR="00494A45">
        <w:rPr>
          <w:rFonts w:ascii="Times New Roman" w:hAnsi="Times New Roman"/>
          <w:b/>
        </w:rPr>
        <w:t>1</w:t>
      </w:r>
      <w:r w:rsidR="009F2D45">
        <w:rPr>
          <w:rFonts w:ascii="Times New Roman" w:hAnsi="Times New Roman"/>
          <w:b/>
        </w:rPr>
        <w:t>2</w:t>
      </w:r>
      <w:r w:rsidR="000600A8" w:rsidRPr="00D83112">
        <w:rPr>
          <w:rFonts w:ascii="Times New Roman" w:hAnsi="Times New Roman"/>
          <w:b/>
        </w:rPr>
        <w:t>.201</w:t>
      </w:r>
      <w:r w:rsidR="008B04E6" w:rsidRPr="00D83112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 xml:space="preserve"> по </w:t>
      </w:r>
      <w:r w:rsidR="009F2D45">
        <w:rPr>
          <w:rFonts w:ascii="Times New Roman" w:hAnsi="Times New Roman"/>
          <w:b/>
        </w:rPr>
        <w:t>18</w:t>
      </w:r>
      <w:r w:rsidR="000600A8" w:rsidRPr="00D83112">
        <w:rPr>
          <w:rFonts w:ascii="Times New Roman" w:hAnsi="Times New Roman"/>
          <w:b/>
        </w:rPr>
        <w:t>.</w:t>
      </w:r>
      <w:r w:rsidR="009F2D45">
        <w:rPr>
          <w:rFonts w:ascii="Times New Roman" w:hAnsi="Times New Roman"/>
          <w:b/>
        </w:rPr>
        <w:t>01</w:t>
      </w:r>
      <w:r w:rsidR="000600A8" w:rsidRPr="00D83112">
        <w:rPr>
          <w:rFonts w:ascii="Times New Roman" w:hAnsi="Times New Roman"/>
          <w:b/>
        </w:rPr>
        <w:t>.201</w:t>
      </w:r>
      <w:r w:rsidR="009F2D45">
        <w:rPr>
          <w:rFonts w:ascii="Times New Roman" w:hAnsi="Times New Roman"/>
          <w:b/>
        </w:rPr>
        <w:t>8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</w:t>
      </w:r>
      <w:r w:rsidRPr="00E41BE2">
        <w:rPr>
          <w:rFonts w:ascii="Times New Roman" w:hAnsi="Times New Roman"/>
        </w:rPr>
        <w:lastRenderedPageBreak/>
        <w:t xml:space="preserve">Федерации. У Организатора или Продавца не возникает обязательств </w:t>
      </w:r>
      <w:proofErr w:type="gramStart"/>
      <w:r w:rsidRPr="00E41BE2">
        <w:rPr>
          <w:rFonts w:ascii="Times New Roman" w:hAnsi="Times New Roman"/>
        </w:rPr>
        <w:t>заключения договора купли-продажи Объекта продажи</w:t>
      </w:r>
      <w:proofErr w:type="gramEnd"/>
      <w:r w:rsidRPr="00E41BE2">
        <w:rPr>
          <w:rFonts w:ascii="Times New Roman" w:hAnsi="Times New Roman"/>
        </w:rPr>
        <w:t xml:space="preserve">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7E5FF0">
        <w:rPr>
          <w:rFonts w:ascii="Times New Roman" w:hAnsi="Times New Roman"/>
        </w:rPr>
        <w:t>недвижимого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494A45" w:rsidRDefault="00494A45" w:rsidP="00257C2F">
      <w:pPr>
        <w:tabs>
          <w:tab w:val="left" w:pos="0"/>
          <w:tab w:val="left" w:pos="1134"/>
        </w:tabs>
        <w:jc w:val="both"/>
        <w:rPr>
          <w:b/>
        </w:rPr>
      </w:pPr>
      <w:r w:rsidRPr="00494A45">
        <w:rPr>
          <w:b/>
        </w:rPr>
        <w:t xml:space="preserve">- Начальник </w:t>
      </w:r>
      <w:r w:rsidR="007E5FF0">
        <w:rPr>
          <w:b/>
        </w:rPr>
        <w:t>юридического отдела</w:t>
      </w:r>
      <w:r w:rsidRPr="00494A45">
        <w:rPr>
          <w:b/>
        </w:rPr>
        <w:t xml:space="preserve"> </w:t>
      </w:r>
      <w:r w:rsidR="007E5FF0" w:rsidRPr="007E5FF0">
        <w:rPr>
          <w:b/>
        </w:rPr>
        <w:t>Кумзина Татьяна Александровна, тел. (35363) 51-269</w:t>
      </w:r>
      <w:r w:rsidRPr="00494A45">
        <w:rPr>
          <w:b/>
        </w:rPr>
        <w:t>,</w:t>
      </w:r>
    </w:p>
    <w:p w:rsidR="00494A45" w:rsidRPr="00494A45" w:rsidRDefault="00494A45" w:rsidP="007E5FF0">
      <w:pPr>
        <w:rPr>
          <w:b/>
        </w:rPr>
      </w:pPr>
      <w:r w:rsidRPr="00494A45">
        <w:rPr>
          <w:b/>
        </w:rPr>
        <w:t xml:space="preserve">- </w:t>
      </w:r>
      <w:r w:rsidR="007E5FF0">
        <w:rPr>
          <w:b/>
        </w:rPr>
        <w:t>В</w:t>
      </w:r>
      <w:r w:rsidR="007E5FF0" w:rsidRPr="007E5FF0">
        <w:rPr>
          <w:b/>
        </w:rPr>
        <w:t>едущий специалист группы защиты имущественных прав Юридического отдела</w:t>
      </w:r>
      <w:r w:rsidR="007E5FF0">
        <w:rPr>
          <w:b/>
        </w:rPr>
        <w:t xml:space="preserve"> </w:t>
      </w:r>
      <w:r w:rsidR="007E5FF0" w:rsidRPr="007E5FF0">
        <w:rPr>
          <w:b/>
        </w:rPr>
        <w:t>Кратий Галина Александровна</w:t>
      </w:r>
      <w:r w:rsidRPr="00494A45">
        <w:rPr>
          <w:b/>
        </w:rPr>
        <w:t>, тел</w:t>
      </w:r>
      <w:r w:rsidR="00257C2F">
        <w:rPr>
          <w:b/>
        </w:rPr>
        <w:t>.</w:t>
      </w:r>
      <w:r w:rsidRPr="00494A45">
        <w:rPr>
          <w:b/>
        </w:rPr>
        <w:t>(35363)51-</w:t>
      </w:r>
      <w:r w:rsidR="007E5FF0">
        <w:rPr>
          <w:b/>
        </w:rPr>
        <w:t>400</w:t>
      </w:r>
      <w:r w:rsidRPr="00494A45">
        <w:rPr>
          <w:b/>
        </w:rPr>
        <w:t>.</w:t>
      </w:r>
    </w:p>
    <w:p w:rsidR="00494A45" w:rsidRPr="00494A45" w:rsidRDefault="00494A45" w:rsidP="00257C2F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7E5FF0">
        <w:rPr>
          <w:b/>
        </w:rPr>
        <w:t>д. 46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8358A0" w:rsidRPr="00257C2F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</w:t>
      </w:r>
      <w:proofErr w:type="gramStart"/>
      <w:r w:rsidR="000600A8" w:rsidRPr="00257C2F">
        <w:rPr>
          <w:b/>
        </w:rPr>
        <w:t>.п</w:t>
      </w:r>
      <w:proofErr w:type="gramEnd"/>
      <w:r w:rsidR="000600A8" w:rsidRPr="00257C2F">
        <w:rPr>
          <w:b/>
        </w:rPr>
        <w:t>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2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257C2F" w:rsidRPr="00494A45" w:rsidRDefault="00257C2F" w:rsidP="00257C2F">
      <w:pPr>
        <w:ind w:firstLine="567"/>
        <w:jc w:val="both"/>
        <w:rPr>
          <w:b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p w:rsidR="00785DD6" w:rsidRDefault="00785DD6" w:rsidP="00257C2F">
      <w:pPr>
        <w:tabs>
          <w:tab w:val="left" w:pos="1134"/>
        </w:tabs>
        <w:jc w:val="both"/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Pr="00785DD6" w:rsidRDefault="00785DD6" w:rsidP="00785DD6">
      <w:pPr>
        <w:tabs>
          <w:tab w:val="left" w:pos="1134"/>
        </w:tabs>
        <w:jc w:val="right"/>
        <w:rPr>
          <w:b/>
          <w:bCs/>
          <w:kern w:val="32"/>
        </w:rPr>
      </w:pP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1504F2"/>
    <w:rsid w:val="00257C2F"/>
    <w:rsid w:val="0037032A"/>
    <w:rsid w:val="00494A45"/>
    <w:rsid w:val="00737F19"/>
    <w:rsid w:val="00785DD6"/>
    <w:rsid w:val="007E5FF0"/>
    <w:rsid w:val="008358A0"/>
    <w:rsid w:val="008B04E6"/>
    <w:rsid w:val="009F2D45"/>
    <w:rsid w:val="00A0242A"/>
    <w:rsid w:val="00D83112"/>
    <w:rsid w:val="00E41BE2"/>
    <w:rsid w:val="00E823C7"/>
    <w:rsid w:val="00EA1F4D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_igres@interrao.ru" TargetMode="External"/><Relationship Id="rId12" Type="http://schemas.openxmlformats.org/officeDocument/2006/relationships/hyperlink" Target="mailto:novotochin_v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ales.interr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tiy_g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zina_ta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11</cp:revision>
  <cp:lastPrinted>2016-07-19T05:14:00Z</cp:lastPrinted>
  <dcterms:created xsi:type="dcterms:W3CDTF">2016-07-19T05:14:00Z</dcterms:created>
  <dcterms:modified xsi:type="dcterms:W3CDTF">2017-12-07T06:17:00Z</dcterms:modified>
</cp:coreProperties>
</file>