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B15E73"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3</w:t>
      </w:r>
      <w:r w:rsidR="00AE2C98" w:rsidRPr="008D128E">
        <w:rPr>
          <w:rFonts w:ascii="Times New Roman" w:hAnsi="Times New Roman"/>
          <w:b w:val="0"/>
          <w:color w:val="000000"/>
          <w:sz w:val="24"/>
          <w:szCs w:val="24"/>
        </w:rPr>
        <w:t xml:space="preserve"> к распоряжению</w:t>
      </w:r>
    </w:p>
    <w:p w:rsidR="00635B1D" w:rsidRPr="00B11A8F" w:rsidRDefault="00AE2C98" w:rsidP="00635B1D">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635B1D" w:rsidRPr="00635B1D">
        <w:rPr>
          <w:rFonts w:ascii="Times New Roman" w:hAnsi="Times New Roman"/>
          <w:sz w:val="24"/>
          <w:szCs w:val="24"/>
        </w:rPr>
        <w:t>от «</w:t>
      </w:r>
      <w:r w:rsidR="00AD3131" w:rsidRPr="00AD3131">
        <w:rPr>
          <w:rFonts w:ascii="Times New Roman" w:hAnsi="Times New Roman"/>
          <w:sz w:val="24"/>
          <w:szCs w:val="24"/>
        </w:rPr>
        <w:t>1</w:t>
      </w:r>
      <w:r w:rsidR="00AD3131">
        <w:rPr>
          <w:rFonts w:ascii="Times New Roman" w:hAnsi="Times New Roman"/>
          <w:sz w:val="24"/>
          <w:szCs w:val="24"/>
          <w:lang w:val="en-US"/>
        </w:rPr>
        <w:t>0</w:t>
      </w:r>
      <w:r w:rsidR="00635B1D" w:rsidRPr="00635B1D">
        <w:rPr>
          <w:rFonts w:ascii="Times New Roman" w:hAnsi="Times New Roman"/>
          <w:sz w:val="24"/>
          <w:szCs w:val="24"/>
        </w:rPr>
        <w:t xml:space="preserve">» </w:t>
      </w:r>
      <w:r w:rsidR="00AD3131">
        <w:rPr>
          <w:rFonts w:ascii="Times New Roman" w:hAnsi="Times New Roman"/>
          <w:sz w:val="24"/>
          <w:szCs w:val="24"/>
        </w:rPr>
        <w:t>декабря</w:t>
      </w:r>
      <w:r w:rsidR="00635B1D" w:rsidRPr="00635B1D">
        <w:rPr>
          <w:rFonts w:ascii="Times New Roman" w:hAnsi="Times New Roman"/>
          <w:sz w:val="24"/>
          <w:szCs w:val="24"/>
        </w:rPr>
        <w:t xml:space="preserve"> № </w:t>
      </w:r>
      <w:r w:rsidR="00AD3131">
        <w:rPr>
          <w:rFonts w:ascii="Times New Roman" w:hAnsi="Times New Roman"/>
          <w:sz w:val="24"/>
          <w:szCs w:val="24"/>
        </w:rPr>
        <w:t>76</w:t>
      </w:r>
    </w:p>
    <w:p w:rsidR="00AE2C98" w:rsidRPr="008D128E" w:rsidRDefault="00AE2C98" w:rsidP="00635B1D">
      <w:pPr>
        <w:spacing w:line="240" w:lineRule="auto"/>
        <w:jc w:val="right"/>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 xml:space="preserve">Лот №1 Комплекс отопительной производственной котельной, Лот №2 Подъездные и внутриплощадочные железнодорожные пути филиала «Уренгойская ГРЭС» АО «Интер РАО – Электрогенерация»,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AD3131">
        <w:rPr>
          <w:rFonts w:ascii="Times New Roman" w:hAnsi="Times New Roman"/>
          <w:b/>
          <w:sz w:val="24"/>
          <w:szCs w:val="24"/>
        </w:rPr>
        <w:t>10</w:t>
      </w:r>
      <w:r w:rsidR="00244EEC">
        <w:rPr>
          <w:rFonts w:ascii="Times New Roman" w:hAnsi="Times New Roman"/>
          <w:b/>
          <w:sz w:val="24"/>
          <w:szCs w:val="24"/>
        </w:rPr>
        <w:t>.12</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244EEC">
        <w:rPr>
          <w:rFonts w:ascii="Times New Roman" w:hAnsi="Times New Roman"/>
          <w:b/>
          <w:sz w:val="24"/>
          <w:szCs w:val="24"/>
        </w:rPr>
        <w:t>10.0</w:t>
      </w:r>
      <w:r w:rsidR="009712E5">
        <w:rPr>
          <w:rFonts w:ascii="Times New Roman" w:hAnsi="Times New Roman"/>
          <w:b/>
          <w:sz w:val="24"/>
          <w:szCs w:val="24"/>
        </w:rPr>
        <w:t>1</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запросе предложений лот № 1, №2 </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AD3131">
        <w:rPr>
          <w:rFonts w:ascii="Times New Roman" w:hAnsi="Times New Roman"/>
          <w:b/>
          <w:sz w:val="24"/>
          <w:szCs w:val="24"/>
        </w:rPr>
        <w:t>10</w:t>
      </w:r>
      <w:bookmarkStart w:id="0" w:name="_GoBack"/>
      <w:bookmarkEnd w:id="0"/>
      <w:r w:rsidR="00CE62D0">
        <w:rPr>
          <w:rFonts w:ascii="Times New Roman" w:hAnsi="Times New Roman"/>
          <w:b/>
          <w:sz w:val="24"/>
          <w:szCs w:val="24"/>
        </w:rPr>
        <w:t>.</w:t>
      </w:r>
      <w:r w:rsidR="00244EEC">
        <w:rPr>
          <w:rFonts w:ascii="Times New Roman" w:hAnsi="Times New Roman"/>
          <w:b/>
          <w:sz w:val="24"/>
          <w:szCs w:val="24"/>
        </w:rPr>
        <w:t>12.2018 до 09.0</w:t>
      </w:r>
      <w:r w:rsidR="009712E5">
        <w:rPr>
          <w:rFonts w:ascii="Times New Roman" w:hAnsi="Times New Roman"/>
          <w:b/>
          <w:sz w:val="24"/>
          <w:szCs w:val="24"/>
        </w:rPr>
        <w:t>1</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B11A8F">
        <w:rPr>
          <w:rFonts w:ascii="Times New Roman" w:hAnsi="Times New Roman"/>
          <w:b/>
          <w:sz w:val="24"/>
          <w:szCs w:val="24"/>
        </w:rPr>
        <w:t>10</w:t>
      </w:r>
      <w:r w:rsidR="0043287E">
        <w:rPr>
          <w:rFonts w:ascii="Times New Roman" w:hAnsi="Times New Roman"/>
          <w:b/>
          <w:sz w:val="24"/>
          <w:szCs w:val="24"/>
        </w:rPr>
        <w:t>.0</w:t>
      </w:r>
      <w:r w:rsidR="009712E5">
        <w:rPr>
          <w:rFonts w:ascii="Times New Roman" w:hAnsi="Times New Roman"/>
          <w:b/>
          <w:sz w:val="24"/>
          <w:szCs w:val="24"/>
        </w:rPr>
        <w:t>1</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Default="00AE2C98"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Перечень реализуемого имущества (Лот №1)</w:t>
      </w:r>
    </w:p>
    <w:p w:rsidR="00C703B7" w:rsidRPr="00C703B7" w:rsidRDefault="00C703B7" w:rsidP="00C703B7">
      <w:pPr>
        <w:spacing w:after="0" w:line="240" w:lineRule="auto"/>
        <w:ind w:left="7080"/>
        <w:jc w:val="right"/>
        <w:rPr>
          <w:rFonts w:ascii="Times New Roman" w:hAnsi="Times New Roman"/>
          <w:sz w:val="24"/>
          <w:lang w:eastAsia="ru-RU"/>
        </w:rPr>
      </w:pPr>
    </w:p>
    <w:tbl>
      <w:tblPr>
        <w:tblW w:w="15735" w:type="dxa"/>
        <w:tblInd w:w="-575" w:type="dxa"/>
        <w:tblLayout w:type="fixed"/>
        <w:tblCellMar>
          <w:left w:w="10" w:type="dxa"/>
          <w:right w:w="10" w:type="dxa"/>
        </w:tblCellMar>
        <w:tblLook w:val="00A0" w:firstRow="1" w:lastRow="0" w:firstColumn="1" w:lastColumn="0" w:noHBand="0" w:noVBand="0"/>
      </w:tblPr>
      <w:tblGrid>
        <w:gridCol w:w="709"/>
        <w:gridCol w:w="1843"/>
        <w:gridCol w:w="2268"/>
        <w:gridCol w:w="1701"/>
        <w:gridCol w:w="1560"/>
        <w:gridCol w:w="1984"/>
        <w:gridCol w:w="1985"/>
        <w:gridCol w:w="1275"/>
        <w:gridCol w:w="1134"/>
        <w:gridCol w:w="1276"/>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Инвентарный номер</w:t>
            </w:r>
          </w:p>
        </w:tc>
        <w:tc>
          <w:tcPr>
            <w:tcW w:w="22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описание и характеристики </w:t>
            </w:r>
            <w:r w:rsidRPr="00C703B7">
              <w:rPr>
                <w:rFonts w:ascii="Times New Roman" w:hAnsi="Times New Roman"/>
                <w:color w:val="000000"/>
                <w:lang w:eastAsia="ru-RU"/>
              </w:rPr>
              <w:br/>
              <w:t>Имущества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Адрес местонахождения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Наименование и реквизиты (серия, номер, дата) правоудостоверяющего документа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земельного участка, в границах которого расположено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2</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4</w:t>
            </w:r>
          </w:p>
        </w:tc>
        <w:tc>
          <w:tcPr>
            <w:tcW w:w="156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5</w:t>
            </w:r>
          </w:p>
        </w:tc>
        <w:tc>
          <w:tcPr>
            <w:tcW w:w="198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10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УРЕ1100004</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Здание котельной – нежилое здание общей площадью 2 969,20 кв.м.</w:t>
            </w:r>
          </w:p>
        </w:tc>
        <w:tc>
          <w:tcPr>
            <w:tcW w:w="1701" w:type="dxa"/>
            <w:tcBorders>
              <w:top w:val="single" w:sz="4" w:space="0" w:color="000000"/>
              <w:left w:val="single" w:sz="4" w:space="0" w:color="000000"/>
              <w:bottom w:val="single" w:sz="4" w:space="0" w:color="000000"/>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1187</w:t>
            </w: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89-89-08/112/2012-387 от 29.11.2012 г.</w:t>
            </w: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val="en-US" w:eastAsia="ru-RU"/>
              </w:rPr>
              <w:t>89</w:t>
            </w:r>
            <w:r w:rsidRPr="00C703B7">
              <w:rPr>
                <w:rFonts w:ascii="Times New Roman" w:hAnsi="Times New Roman"/>
                <w:lang w:eastAsia="ru-RU"/>
              </w:rPr>
              <w:t>:11:070101:2444</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val="en-US" w:eastAsia="ru-RU"/>
              </w:rPr>
            </w:pPr>
            <w:r w:rsidRPr="00C703B7">
              <w:rPr>
                <w:rFonts w:ascii="Times New Roman" w:hAnsi="Times New Roman"/>
                <w:lang w:val="en-US" w:eastAsia="ru-RU"/>
              </w:rPr>
              <w:t>43 470 000</w:t>
            </w:r>
          </w:p>
          <w:p w:rsidR="00C703B7" w:rsidRPr="00C703B7" w:rsidRDefault="00C703B7" w:rsidP="00C703B7">
            <w:pPr>
              <w:spacing w:after="0" w:line="240" w:lineRule="auto"/>
              <w:jc w:val="center"/>
              <w:rPr>
                <w:rFonts w:ascii="Times New Roman" w:hAnsi="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7 824 600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51 294 600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4</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0414000214010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Бак промывочной воды (БПВ)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4 366</w:t>
            </w:r>
          </w:p>
        </w:tc>
      </w:tr>
      <w:tr w:rsidR="00C703B7" w:rsidRPr="00C703B7" w:rsidTr="00C703B7">
        <w:trPr>
          <w:trHeight w:hRule="exact" w:val="90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0414001915000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1Д315х71с эл.дв. 4АМУ5S2 75кВт</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95"/>
              </w:tabs>
              <w:spacing w:after="0"/>
              <w:jc w:val="center"/>
              <w:rPr>
                <w:rFonts w:ascii="Times New Roman" w:hAnsi="Times New Roman"/>
                <w:lang w:eastAsia="ru-RU"/>
              </w:rPr>
            </w:pPr>
            <w:r w:rsidRPr="00C703B7">
              <w:rPr>
                <w:rFonts w:ascii="Times New Roman" w:hAnsi="Times New Roman"/>
                <w:lang w:eastAsia="ru-RU"/>
              </w:rPr>
              <w:t>65 844</w:t>
            </w:r>
          </w:p>
        </w:tc>
      </w:tr>
      <w:tr w:rsidR="00C703B7" w:rsidRPr="00C703B7" w:rsidTr="00C703B7">
        <w:trPr>
          <w:trHeight w:hRule="exact" w:val="907"/>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0414000017001</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сетевой зимний (СН-3) с эл.дв.</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907"/>
        </w:trPr>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0414000018002</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сетевой зимний (СН-4)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79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0414001859000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СЭ1250-140 с эл. дв.  АЧ-400УЗ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4 </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626 600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112 788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739 388</w:t>
            </w:r>
          </w:p>
        </w:tc>
      </w:tr>
      <w:tr w:rsidR="00C703B7" w:rsidRPr="00C703B7" w:rsidTr="00C703B7">
        <w:trPr>
          <w:trHeight w:val="62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0414000080003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сетевой летний (СНЛ)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148 800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26 784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175 584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0414002212000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исходной воды (НИВ-1)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0414000125012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исходной воды (НИВ-2)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0414000026006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подпиточный (НПТС-3)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0414000027007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(НПТС-4)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0414000028008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(НПТС-5)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0414000029009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подпиточный (ЦН)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0414000002011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промывочной воды (НПВ-1)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0414000014004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рециркуляции сетевой воды</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(СНР-1) с эл.дв.</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val="1242"/>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1.18</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0414000015005</w:t>
            </w:r>
          </w:p>
        </w:tc>
        <w:tc>
          <w:tcPr>
            <w:tcW w:w="22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рециркуляции сетевой воды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(СНР-2)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hRule="exact" w:val="1823"/>
        </w:trPr>
        <w:tc>
          <w:tcPr>
            <w:tcW w:w="709" w:type="dxa"/>
            <w:tcBorders>
              <w:top w:val="single" w:sz="4" w:space="0" w:color="auto"/>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1.19</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0414001878000</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line="240" w:lineRule="auto"/>
              <w:rPr>
                <w:rFonts w:ascii="Times New Roman" w:hAnsi="Times New Roman"/>
                <w:lang w:eastAsia="ru-RU"/>
              </w:rPr>
            </w:pPr>
            <w:r w:rsidRPr="00C703B7">
              <w:rPr>
                <w:rFonts w:ascii="Times New Roman" w:hAnsi="Times New Roman"/>
                <w:lang w:eastAsia="ru-RU"/>
              </w:rPr>
              <w:t>Оборудование силовое тепломеханическое (Вентиляторы дутьевые и дымососы КВГМ-50 ст. № 4, 5) с эл. дв.</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2 146 600</w:t>
            </w: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386 388</w:t>
            </w:r>
          </w:p>
        </w:tc>
        <w:tc>
          <w:tcPr>
            <w:tcW w:w="1276"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2 532 988</w:t>
            </w:r>
          </w:p>
        </w:tc>
      </w:tr>
      <w:tr w:rsidR="00C703B7" w:rsidRPr="00C703B7" w:rsidTr="00C703B7">
        <w:trPr>
          <w:trHeight w:hRule="exact" w:val="1823"/>
        </w:trPr>
        <w:tc>
          <w:tcPr>
            <w:tcW w:w="709" w:type="dxa"/>
            <w:vMerge w:val="restart"/>
            <w:tcBorders>
              <w:top w:val="single" w:sz="4" w:space="0" w:color="000000"/>
              <w:left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lastRenderedPageBreak/>
              <w:t>1.20</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0414001879000</w:t>
            </w: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Оборудование силовое электротехническое (Электродвигатели дутьевых вентиляторов и дымососов КВГМ-50</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ст. № 4, 5, каб.линии)</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val="120"/>
        </w:trPr>
        <w:tc>
          <w:tcPr>
            <w:tcW w:w="709" w:type="dxa"/>
            <w:vMerge/>
            <w:tcBorders>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10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здания котельной</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w:t>
            </w:r>
            <w:r w:rsidRPr="00C703B7">
              <w:rPr>
                <w:rFonts w:ascii="Times New Roman" w:hAnsi="Times New Roman"/>
                <w:bdr w:val="single" w:sz="4" w:space="0" w:color="auto"/>
                <w:lang w:eastAsia="ru-RU"/>
              </w:rPr>
              <w:t>,</w:t>
            </w:r>
            <w:r w:rsidRPr="00C703B7">
              <w:rPr>
                <w:rFonts w:ascii="Times New Roman" w:hAnsi="Times New Roman"/>
                <w:lang w:eastAsia="ru-RU"/>
              </w:rPr>
              <w:t xml:space="preserve"> жилрайон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6 498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42 598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0414001417000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Таль электрическая г/п 3,2 тн</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 - 0,4 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rPr>
          <w:trHeight w:val="25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РУ-0,4 кВ ОПК</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37 044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242 844</w:t>
            </w:r>
          </w:p>
        </w:tc>
      </w:tr>
      <w:tr w:rsidR="00C703B7" w:rsidRPr="00C703B7" w:rsidTr="00C703B7">
        <w:trPr>
          <w:trHeight w:val="27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УРЕ1400016</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РУСН-0,4 кВ ОПК</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451 200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81 216</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532 416</w:t>
            </w:r>
          </w:p>
        </w:tc>
      </w:tr>
      <w:tr w:rsidR="00C703B7" w:rsidRPr="00C703B7" w:rsidTr="00C703B7">
        <w:trPr>
          <w:trHeight w:val="226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1.26</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0414001836000</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Панель № 1992.</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 xml:space="preserve">Год ввода в эксплуатацию: </w:t>
            </w:r>
            <w:smartTag w:uri="urn:schemas-microsoft-com:office:smarttags" w:element="metricconverter">
              <w:smartTagPr>
                <w:attr w:name="ProductID" w:val="1987 г"/>
              </w:smartTagPr>
              <w:r w:rsidRPr="00C703B7">
                <w:rPr>
                  <w:rFonts w:ascii="Times New Roman" w:hAnsi="Times New Roman"/>
                  <w:lang w:eastAsia="ru-RU"/>
                </w:rPr>
                <w:t>1987 г</w:t>
              </w:r>
            </w:smartTag>
            <w:r w:rsidRPr="00C703B7">
              <w:rPr>
                <w:rFonts w:ascii="Times New Roman" w:hAnsi="Times New Roman"/>
                <w:lang w:eastAsia="ru-RU"/>
              </w:rPr>
              <w:t>.</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Тип оборудования: Металлический шкаф с монтажной панелью.</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Установлены автоматические выключатели АП50-Б номинальный ток 16А.</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Два магнитных пускателя ПМЛ 025-380 номинальный ток 25А. Ключи управления типа КСВФ.</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1 500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1 770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УРЕ1200002</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Дымовая  труба  с газоходами № 2 – сооружение, общей площадью 104,2 кв.м. </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2493</w:t>
            </w:r>
          </w:p>
        </w:tc>
        <w:tc>
          <w:tcPr>
            <w:tcW w:w="15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 89-89-08/112/2012-390 </w:t>
            </w:r>
            <w:r w:rsidRPr="00C703B7">
              <w:rPr>
                <w:rFonts w:ascii="Times New Roman" w:hAnsi="Times New Roman"/>
                <w:lang w:eastAsia="ru-RU"/>
              </w:rPr>
              <w:lastRenderedPageBreak/>
              <w:t>от 29.11.2012</w:t>
            </w:r>
          </w:p>
        </w:tc>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89:11:070101:2444</w:t>
            </w: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134 800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24 264</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159 064</w:t>
            </w:r>
          </w:p>
        </w:tc>
      </w:tr>
      <w:tr w:rsidR="00C703B7" w:rsidRPr="00C703B7" w:rsidTr="00C703B7">
        <w:trPr>
          <w:trHeight w:val="174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Здание мазутонасосной ОПК, площадью 295,8 кв.м.</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3286</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запись в Едином государственном реестре прав за № 89-89-08/321/2014-450 от 10.10.2014</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22 502500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4 050 450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26 552 950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411000024002-15</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мазутного хозяйства ОПК</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12 036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дренажный насос в приямке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4 838</w:t>
            </w:r>
          </w:p>
        </w:tc>
      </w:tr>
      <w:tr w:rsidR="00C703B7" w:rsidRPr="00C703B7" w:rsidTr="00C703B7">
        <w:trPr>
          <w:trHeight w:hRule="exact" w:val="118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411000024002-7</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мазутный насос рецеркуляции № 1 с эл.дв.</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highlight w:val="yellow"/>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hRule="exact" w:val="113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мазутный насос рецеркуляции № 2 с эл. дв.</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825"/>
              </w:tabs>
              <w:spacing w:after="0" w:line="240" w:lineRule="auto"/>
              <w:jc w:val="center"/>
              <w:rPr>
                <w:rFonts w:ascii="Times New Roman" w:hAnsi="Times New Roman"/>
                <w:lang w:eastAsia="ru-RU"/>
              </w:rPr>
            </w:pPr>
            <w:r w:rsidRPr="00C703B7">
              <w:rPr>
                <w:rFonts w:ascii="Times New Roman" w:hAnsi="Times New Roman"/>
                <w:lang w:eastAsia="ru-RU"/>
              </w:rPr>
              <w:t>6 912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45 312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3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val="102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основной мазутный насос № 4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val="1280"/>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перекачивающий мазутный насос № 1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rPr>
          <w:trHeight w:val="136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 мазутный: перекачивающий мазутный насос № 2 с эл. дв.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815"/>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6</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411000024002-16</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Технологический трубопровод пено-пожаротушения мазутного хозяйства</w:t>
            </w:r>
          </w:p>
          <w:p w:rsidR="00C703B7" w:rsidRPr="00C703B7" w:rsidRDefault="00C703B7" w:rsidP="00C703B7">
            <w:pPr>
              <w:spacing w:after="0"/>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63 900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11 502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75 402</w:t>
            </w:r>
          </w:p>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39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411000024002-14</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Узел учёта мазута</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2 360</w:t>
            </w:r>
          </w:p>
        </w:tc>
      </w:tr>
      <w:tr w:rsidR="00C703B7" w:rsidRPr="00C703B7" w:rsidTr="00C703B7">
        <w:trPr>
          <w:trHeight w:hRule="exact" w:val="51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РУСН-0,4кВ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7 038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46 138</w:t>
            </w:r>
          </w:p>
        </w:tc>
      </w:tr>
      <w:tr w:rsidR="00C703B7" w:rsidRPr="00C703B7" w:rsidTr="00C703B7">
        <w:trPr>
          <w:trHeight w:hRule="exact" w:val="29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КИП и А МНХ</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71 900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84 842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жидкого топлива № 1, сооружение, общей площадью 24,5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89-89-08/112/2012-412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жидкого топлива № 2, сооружение общей площадью 24,5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89-89-08/112/2012-413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hRule="exact" w:val="170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0412000026000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Сооружение слива и приема мазута, сооружение, протяженность </w:t>
            </w:r>
            <w:smartTag w:uri="urn:schemas-microsoft-com:office:smarttags" w:element="metricconverter">
              <w:smartTagPr>
                <w:attr w:name="ProductID" w:val="94,76 м"/>
              </w:smartTagPr>
              <w:r w:rsidRPr="00C703B7">
                <w:rPr>
                  <w:rFonts w:ascii="Times New Roman" w:hAnsi="Times New Roman"/>
                  <w:lang w:eastAsia="ru-RU"/>
                </w:rPr>
                <w:t>94,76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2582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89-89-08/112/2012-414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10 370 000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1 866 600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12 236 600</w:t>
            </w:r>
          </w:p>
        </w:tc>
      </w:tr>
      <w:tr w:rsidR="00C703B7" w:rsidRPr="00C703B7" w:rsidTr="00C703B7">
        <w:trPr>
          <w:trHeight w:val="173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Резервуар подземный  для слива  мазута, сооружение, объемом 168 куб.м.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3321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89-89-08/321/2014-451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766 200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137 916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904 116</w:t>
            </w:r>
          </w:p>
        </w:tc>
      </w:tr>
      <w:tr w:rsidR="00C703B7" w:rsidRPr="00C703B7" w:rsidTr="00C703B7">
        <w:trPr>
          <w:trHeight w:hRule="exact" w:val="187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Магистральный мазутопровод, сооружение, Д= от 57х3мм. до 325х6мм., протяженность </w:t>
            </w:r>
            <w:smartTag w:uri="urn:schemas-microsoft-com:office:smarttags" w:element="metricconverter">
              <w:smartTagPr>
                <w:attr w:name="ProductID" w:val="968 м"/>
              </w:smartTagPr>
              <w:r w:rsidRPr="00C703B7">
                <w:rPr>
                  <w:rFonts w:ascii="Times New Roman" w:hAnsi="Times New Roman"/>
                  <w:lang w:eastAsia="ru-RU"/>
                </w:rPr>
                <w:t>968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89:11:070101:3324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89-89-08/321/2014-453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89:11:070101:244289:11:070101:2459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5 808 700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1 045 566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6 854 266</w:t>
            </w:r>
          </w:p>
        </w:tc>
      </w:tr>
      <w:tr w:rsidR="00C703B7" w:rsidRPr="00C703B7" w:rsidTr="00C703B7">
        <w:trPr>
          <w:trHeight w:val="18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Противопожарный резервуар № 1, сооружение, объемом 600 куб.м., площадью 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166232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2, объемом </w:t>
            </w:r>
            <w:smartTag w:uri="urn:schemas-microsoft-com:office:smarttags" w:element="metricconverter">
              <w:smartTagPr>
                <w:attr w:name="ProductID" w:val="600 куб. м"/>
              </w:smartTagPr>
              <w:r w:rsidRPr="00C703B7">
                <w:rPr>
                  <w:rFonts w:ascii="Times New Roman" w:hAnsi="Times New Roman"/>
                  <w:lang w:eastAsia="ru-RU"/>
                </w:rPr>
                <w:t>600 куб. м</w:t>
              </w:r>
            </w:smartTag>
            <w:r w:rsidRPr="00C703B7">
              <w:rPr>
                <w:rFonts w:ascii="Times New Roman" w:hAnsi="Times New Roman"/>
                <w:lang w:eastAsia="ru-RU"/>
              </w:rPr>
              <w:t>., площадью 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89:11:070101:2294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166496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rPr>
          <w:trHeight w:hRule="exact" w:val="170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lastRenderedPageBreak/>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041100007000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Насосная  станция первоочередного водоснабжения, нежилое здание, общей площадью 14,5 кв.м.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89:11:070101:1352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89-89-08/112/2012-468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1 006 400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181 152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1 187 552</w:t>
            </w:r>
          </w:p>
        </w:tc>
      </w:tr>
      <w:tr w:rsidR="00C703B7" w:rsidRPr="00C703B7" w:rsidTr="00C703B7">
        <w:trPr>
          <w:trHeight w:hRule="exact" w:val="21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iCs/>
                <w:lang w:eastAsia="ru-RU"/>
              </w:rPr>
              <w:t>04/002817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Инженерные сети (канализационные сети), сооружение, в том числе колодцы 7 шт., длина </w:t>
            </w:r>
            <w:smartTag w:uri="urn:schemas-microsoft-com:office:smarttags" w:element="metricconverter">
              <w:smartTagPr>
                <w:attr w:name="ProductID" w:val="345 м"/>
              </w:smartTagPr>
              <w:r w:rsidRPr="00C703B7">
                <w:rPr>
                  <w:rFonts w:ascii="Times New Roman" w:hAnsi="Times New Roman"/>
                  <w:lang w:eastAsia="ru-RU"/>
                </w:rPr>
                <w:t>345 м</w:t>
              </w:r>
            </w:smartTag>
            <w:r w:rsidRPr="00C703B7">
              <w:rPr>
                <w:rFonts w:ascii="Times New Roman" w:hAnsi="Times New Roman"/>
                <w:lang w:eastAsia="ru-RU"/>
              </w:rPr>
              <w:t>.п.</w:t>
            </w: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89:11:070101:3673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 территория Уренгойской ГРЭС</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89-89/008-89/008/201/2016-18279/1 от 09.12.2016</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89:11:070101:2459 89:11:070101:244489:11:070101:2442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2 190 500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394 290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2 584 790</w:t>
            </w:r>
          </w:p>
        </w:tc>
      </w:tr>
      <w:tr w:rsidR="00C703B7" w:rsidRPr="00C703B7" w:rsidTr="00C703B7">
        <w:trPr>
          <w:trHeight w:hRule="exact" w:val="199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0412000042000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Автодороги и площадки  в районе котельной, сооружение протяженностью 290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89:11:070101:2577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пос.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89-89-08/112/2012-427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12 915 000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2 324 700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80"/>
              </w:tabs>
              <w:spacing w:after="0"/>
              <w:jc w:val="center"/>
              <w:rPr>
                <w:rFonts w:ascii="Times New Roman" w:hAnsi="Times New Roman"/>
                <w:lang w:eastAsia="ru-RU"/>
              </w:rPr>
            </w:pPr>
            <w:r w:rsidRPr="00C703B7">
              <w:rPr>
                <w:rFonts w:ascii="Times New Roman" w:hAnsi="Times New Roman"/>
                <w:lang w:eastAsia="ru-RU"/>
              </w:rPr>
              <w:t>15 239 700</w:t>
            </w:r>
          </w:p>
        </w:tc>
      </w:tr>
      <w:tr w:rsidR="00C703B7" w:rsidRPr="00C703B7" w:rsidTr="00C703B7">
        <w:trPr>
          <w:trHeight w:hRule="exact" w:val="260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Внешнее электроснабжение, ВЛ-6 кВ ПС «Головная»- ОПК, сооружение воздушная линия электропередачи 6 кВ, протяженность 2 081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89:11:070101:3587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 жилрайон Лимбяяха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89-89/008-89/008/201/2016-12617/1 от 15.09.2016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89:11:070101:2402</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89:11:070101:2460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1301 800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234 324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1 536 124</w:t>
            </w:r>
          </w:p>
        </w:tc>
      </w:tr>
      <w:tr w:rsidR="00C703B7" w:rsidRPr="00C703B7" w:rsidTr="00C703B7">
        <w:trPr>
          <w:trHeight w:hRule="exact" w:val="1643"/>
        </w:trPr>
        <w:tc>
          <w:tcPr>
            <w:tcW w:w="709" w:type="dxa"/>
            <w:vMerge w:val="restart"/>
            <w:tcBorders>
              <w:top w:val="single" w:sz="4" w:space="0" w:color="000000"/>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Внутриплощадочные железнодорожные пути № 5, 6:</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89:11:070101:3601</w:t>
            </w:r>
          </w:p>
        </w:tc>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 г. Новый Уренгой, жилрайон Лимбяяха</w:t>
            </w: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89-89/008-89/008/201/2016-13289/1 от </w:t>
            </w:r>
            <w:r w:rsidRPr="00C703B7">
              <w:rPr>
                <w:rFonts w:ascii="Times New Roman" w:hAnsi="Times New Roman"/>
                <w:lang w:eastAsia="ru-RU"/>
              </w:rPr>
              <w:lastRenderedPageBreak/>
              <w:t>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lastRenderedPageBreak/>
              <w:t>89:11:070101:3583</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89:11:070101:2559 (ЗУ1)</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17 300 000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3 114 000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20 414 000</w:t>
            </w:r>
          </w:p>
        </w:tc>
      </w:tr>
      <w:tr w:rsidR="00C703B7" w:rsidRPr="00C703B7" w:rsidTr="00C703B7">
        <w:trPr>
          <w:trHeight w:hRule="exact" w:val="707"/>
        </w:trPr>
        <w:tc>
          <w:tcPr>
            <w:tcW w:w="709" w:type="dxa"/>
            <w:vMerge/>
            <w:tcBorders>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Стройбаза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5</w:t>
            </w:r>
          </w:p>
        </w:tc>
        <w:tc>
          <w:tcPr>
            <w:tcW w:w="1701"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11 047 100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1 988 478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13 035 578</w:t>
            </w:r>
          </w:p>
        </w:tc>
      </w:tr>
      <w:tr w:rsidR="00C703B7" w:rsidRPr="00C703B7" w:rsidTr="00C703B7">
        <w:trPr>
          <w:trHeight w:hRule="exact" w:val="844"/>
        </w:trPr>
        <w:tc>
          <w:tcPr>
            <w:tcW w:w="709" w:type="dxa"/>
            <w:vMerge/>
            <w:tcBorders>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Стройбаза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6</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6 252 900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1 125 522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7 378 422</w:t>
            </w:r>
          </w:p>
        </w:tc>
      </w:tr>
    </w:tbl>
    <w:p w:rsidR="00C703B7" w:rsidRPr="00C703B7" w:rsidRDefault="00C703B7" w:rsidP="00C703B7">
      <w:pPr>
        <w:spacing w:after="0" w:line="240" w:lineRule="auto"/>
        <w:rPr>
          <w:rFonts w:ascii="Times New Roman" w:hAnsi="Times New Roman"/>
          <w:b/>
          <w:sz w:val="24"/>
          <w:szCs w:val="24"/>
          <w:lang w:eastAsia="ru-RU"/>
        </w:rPr>
      </w:pPr>
    </w:p>
    <w:p w:rsidR="00C703B7" w:rsidRPr="00C703B7" w:rsidRDefault="00C703B7" w:rsidP="00C703B7">
      <w:pPr>
        <w:spacing w:after="0" w:line="240" w:lineRule="auto"/>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 xml:space="preserve">Перечень земельных участков </w:t>
      </w:r>
    </w:p>
    <w:p w:rsidR="00C703B7" w:rsidRPr="00C703B7" w:rsidRDefault="00C703B7" w:rsidP="00C703B7">
      <w:pPr>
        <w:spacing w:after="0" w:line="240" w:lineRule="auto"/>
        <w:jc w:val="center"/>
        <w:rPr>
          <w:rFonts w:ascii="Times New Roman" w:hAnsi="Times New Roman"/>
          <w:b/>
          <w:sz w:val="24"/>
          <w:lang w:eastAsia="ru-RU"/>
        </w:rPr>
      </w:pPr>
    </w:p>
    <w:tbl>
      <w:tblPr>
        <w:tblW w:w="16019" w:type="dxa"/>
        <w:tblInd w:w="-601" w:type="dxa"/>
        <w:tblLayout w:type="fixed"/>
        <w:tblCellMar>
          <w:left w:w="10" w:type="dxa"/>
          <w:right w:w="10" w:type="dxa"/>
        </w:tblCellMar>
        <w:tblLook w:val="00A0" w:firstRow="1" w:lastRow="0" w:firstColumn="1" w:lastColumn="0" w:noHBand="0" w:noVBand="0"/>
      </w:tblPr>
      <w:tblGrid>
        <w:gridCol w:w="709"/>
        <w:gridCol w:w="2127"/>
        <w:gridCol w:w="1134"/>
        <w:gridCol w:w="1276"/>
        <w:gridCol w:w="1841"/>
        <w:gridCol w:w="1527"/>
        <w:gridCol w:w="2126"/>
        <w:gridCol w:w="2160"/>
        <w:gridCol w:w="1701"/>
        <w:gridCol w:w="1418"/>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Категория земель</w:t>
            </w:r>
          </w:p>
        </w:tc>
        <w:tc>
          <w:tcPr>
            <w:tcW w:w="18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разрешенного использования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Продавца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Наименование и реквизиты (серия, номер, дата) правоустанавливающего или правоудостоверяющего документа на земельный участок</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на земельный участок, предоставляемый Покупателю</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без НДС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w:t>
            </w: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4</w:t>
            </w:r>
          </w:p>
        </w:tc>
        <w:tc>
          <w:tcPr>
            <w:tcW w:w="184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5</w:t>
            </w:r>
          </w:p>
        </w:tc>
        <w:tc>
          <w:tcPr>
            <w:tcW w:w="15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7</w:t>
            </w:r>
          </w:p>
        </w:tc>
        <w:tc>
          <w:tcPr>
            <w:tcW w:w="21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8</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r w:rsidRPr="00C703B7">
              <w:rPr>
                <w:rFonts w:ascii="Times New Roman" w:hAnsi="Times New Roman"/>
                <w:color w:val="000000"/>
              </w:rPr>
              <w:t>9</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89:11:070101:2444</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10 650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sz w:val="20"/>
                <w:szCs w:val="20"/>
              </w:rPr>
            </w:pPr>
            <w:r w:rsidRPr="00C703B7">
              <w:rPr>
                <w:rFonts w:ascii="Times New Roman" w:hAnsi="Times New Roman"/>
                <w:sz w:val="20"/>
                <w:szCs w:val="20"/>
              </w:rPr>
              <w:t>Земли населенных пунктов</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sz w:val="20"/>
                <w:szCs w:val="20"/>
              </w:rPr>
            </w:pPr>
            <w:r w:rsidRPr="00C703B7">
              <w:rPr>
                <w:rFonts w:ascii="Times New Roman" w:hAnsi="Times New Roman"/>
                <w:sz w:val="20"/>
                <w:szCs w:val="20"/>
              </w:rPr>
              <w:t>для размещения электростанций обслуживающих их сооружений и объектов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аренда</w:t>
            </w: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НУ/л-12-14 от 21.11.2013 г. (рег.№ 89-89-08/313/2014-153 от 23.06.2014 г.)</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Земельный участок переходит от Продавца к Покупателю согласно п.3.</w:t>
            </w:r>
          </w:p>
          <w:p w:rsidR="00C703B7" w:rsidRPr="00C703B7" w:rsidRDefault="00C703B7" w:rsidP="00C703B7">
            <w:pPr>
              <w:spacing w:after="0" w:line="240" w:lineRule="auto"/>
              <w:rPr>
                <w:rFonts w:ascii="Times New Roman" w:hAnsi="Times New Roman"/>
              </w:rPr>
            </w:pPr>
            <w:r w:rsidRPr="00C703B7">
              <w:rPr>
                <w:rFonts w:ascii="Times New Roman" w:hAnsi="Times New Roman"/>
              </w:rPr>
              <w:t>ст. 552 ГК РФ и ст. 35 ЗК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3 610 400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4 260 272</w:t>
            </w: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11 641</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3 864 800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4 560 464</w:t>
            </w:r>
          </w:p>
        </w:tc>
      </w:tr>
      <w:tr w:rsidR="00C703B7" w:rsidRPr="00C703B7" w:rsidTr="00C703B7">
        <w:trPr>
          <w:trHeight w:hRule="exac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89:11:070101:2457</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2 170</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850 600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1 003 708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 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89:11:070101:2402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77</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НУ/л-4-14 от 03.09.2013 г. (рег.№ 89-89-08/312/2014-13 от 23.06.2014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70 700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83 426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89:11:070101:2460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13 800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16 284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89:11:070101:3583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12149</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Договор аренды №НУ/л-4-17 (1) 8-УРЕ/009-0295-16 от 08.11.2016 </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4 276 400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5 046 152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89:11:070101:2559 (ЗУ1)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12475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НУ/л-386 от 14.12.2012 г., (рег.№ 89-89-08/313/2014-470 от 30.06.2014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5 002 500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5 902 950</w:t>
            </w:r>
          </w:p>
        </w:tc>
      </w:tr>
    </w:tbl>
    <w:p w:rsidR="00C703B7" w:rsidRPr="001F4874" w:rsidRDefault="00C703B7" w:rsidP="00C703B7">
      <w:pPr>
        <w:spacing w:after="0" w:line="240" w:lineRule="auto"/>
        <w:jc w:val="right"/>
        <w:rPr>
          <w:rFonts w:ascii="Arial" w:hAnsi="Arial" w:cs="Arial"/>
          <w:sz w:val="18"/>
          <w:szCs w:val="18"/>
          <w:lang w:eastAsia="ru-RU"/>
        </w:rPr>
      </w:pPr>
      <w:r>
        <w:rPr>
          <w:rFonts w:ascii="Arial" w:hAnsi="Arial" w:cs="Arial"/>
          <w:sz w:val="18"/>
          <w:szCs w:val="18"/>
          <w:lang w:eastAsia="ru-RU"/>
        </w:rPr>
        <w:lastRenderedPageBreak/>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Pr="00C703B7" w:rsidRDefault="00C703B7" w:rsidP="00CF281E">
      <w:pPr>
        <w:spacing w:after="0" w:line="240" w:lineRule="auto"/>
        <w:rPr>
          <w:rFonts w:ascii="Times New Roman" w:hAnsi="Times New Roman"/>
          <w:sz w:val="24"/>
          <w:lang w:eastAsia="ru-RU"/>
        </w:rPr>
      </w:pPr>
    </w:p>
    <w:p w:rsidR="00CF281E" w:rsidRPr="00CF281E" w:rsidRDefault="00CF281E" w:rsidP="00CF281E">
      <w:pPr>
        <w:spacing w:after="0" w:line="240" w:lineRule="auto"/>
        <w:jc w:val="center"/>
        <w:rPr>
          <w:rFonts w:ascii="Times New Roman" w:eastAsia="Times New Roman" w:hAnsi="Times New Roman"/>
          <w:b/>
          <w:sz w:val="24"/>
          <w:lang w:eastAsia="ru-RU"/>
        </w:rPr>
      </w:pPr>
      <w:r w:rsidRPr="00CF281E">
        <w:rPr>
          <w:rFonts w:ascii="Times New Roman" w:eastAsia="Times New Roman" w:hAnsi="Times New Roman"/>
          <w:b/>
          <w:sz w:val="24"/>
          <w:lang w:eastAsia="ru-RU"/>
        </w:rPr>
        <w:t>Перечень реализуемого имущества (Лот №2)</w:t>
      </w:r>
    </w:p>
    <w:p w:rsidR="00CF281E" w:rsidRPr="00CF281E" w:rsidRDefault="00CF281E" w:rsidP="00CF281E">
      <w:pPr>
        <w:spacing w:after="0" w:line="240" w:lineRule="auto"/>
        <w:jc w:val="center"/>
        <w:rPr>
          <w:rFonts w:ascii="Times New Roman" w:eastAsia="Times New Roman" w:hAnsi="Times New Roman"/>
          <w:b/>
          <w:sz w:val="24"/>
          <w:lang w:eastAsia="ru-RU"/>
        </w:rPr>
      </w:pPr>
    </w:p>
    <w:tbl>
      <w:tblPr>
        <w:tblpPr w:leftFromText="180" w:rightFromText="180" w:vertAnchor="text" w:horzAnchor="margin" w:tblpX="-176" w:tblpY="89"/>
        <w:tblW w:w="15778" w:type="dxa"/>
        <w:tblLayout w:type="fixed"/>
        <w:tblCellMar>
          <w:left w:w="10" w:type="dxa"/>
          <w:right w:w="10" w:type="dxa"/>
        </w:tblCellMar>
        <w:tblLook w:val="04A0" w:firstRow="1" w:lastRow="0" w:firstColumn="1" w:lastColumn="0" w:noHBand="0" w:noVBand="1"/>
      </w:tblPr>
      <w:tblGrid>
        <w:gridCol w:w="724"/>
        <w:gridCol w:w="1544"/>
        <w:gridCol w:w="3227"/>
        <w:gridCol w:w="1583"/>
        <w:gridCol w:w="1535"/>
        <w:gridCol w:w="2093"/>
        <w:gridCol w:w="1593"/>
        <w:gridCol w:w="1134"/>
        <w:gridCol w:w="1134"/>
        <w:gridCol w:w="1211"/>
      </w:tblGrid>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Segoe UI Symbol" w:hAnsi="Times New Roman"/>
                <w:noProof/>
                <w:sz w:val="24"/>
              </w:rPr>
              <w:t xml:space="preserve">№ </w:t>
            </w:r>
            <w:r w:rsidRPr="00CF281E">
              <w:rPr>
                <w:rFonts w:ascii="Times New Roman" w:eastAsia="Times New Roman" w:hAnsi="Times New Roman"/>
                <w:noProof/>
                <w:sz w:val="24"/>
              </w:rPr>
              <w:t>п/п</w:t>
            </w:r>
          </w:p>
        </w:tc>
        <w:tc>
          <w:tcPr>
            <w:tcW w:w="15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Инвентарный номер</w:t>
            </w:r>
          </w:p>
        </w:tc>
        <w:tc>
          <w:tcPr>
            <w:tcW w:w="322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 xml:space="preserve">Наименование, описание и характеристики </w:t>
            </w:r>
            <w:r w:rsidRPr="00CF281E">
              <w:rPr>
                <w:rFonts w:ascii="Times New Roman" w:eastAsia="Times New Roman" w:hAnsi="Times New Roman"/>
                <w:noProof/>
                <w:color w:val="000000"/>
                <w:sz w:val="24"/>
              </w:rPr>
              <w:br/>
              <w:t>Имущества</w:t>
            </w:r>
          </w:p>
        </w:tc>
        <w:tc>
          <w:tcPr>
            <w:tcW w:w="158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Имущества</w:t>
            </w:r>
          </w:p>
        </w:tc>
        <w:tc>
          <w:tcPr>
            <w:tcW w:w="153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Адрес местонахождения Имущества</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Наименование и реквизиты (серия, номер, дата) правоудостоверяющего документа на Имущество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земельного участка, в границах которого расположено Имущество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c>
          <w:tcPr>
            <w:tcW w:w="1211"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с учетом </w:t>
            </w: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sz w:val="24"/>
              </w:rPr>
              <w:t>1</w:t>
            </w:r>
          </w:p>
        </w:tc>
        <w:tc>
          <w:tcPr>
            <w:tcW w:w="1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3</w:t>
            </w:r>
          </w:p>
        </w:tc>
        <w:tc>
          <w:tcPr>
            <w:tcW w:w="158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4</w:t>
            </w:r>
          </w:p>
        </w:tc>
        <w:tc>
          <w:tcPr>
            <w:tcW w:w="153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5</w:t>
            </w:r>
          </w:p>
        </w:tc>
        <w:tc>
          <w:tcPr>
            <w:tcW w:w="209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6</w:t>
            </w:r>
          </w:p>
        </w:tc>
        <w:tc>
          <w:tcPr>
            <w:tcW w:w="15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10</w:t>
            </w:r>
          </w:p>
        </w:tc>
      </w:tr>
      <w:tr w:rsidR="00CF281E" w:rsidRPr="00CF281E" w:rsidTr="00FC471E">
        <w:trPr>
          <w:trHeight w:val="1175"/>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Подъездные железнодорожные пути «Тихая-ГРЭС», линейное сооружение протяженность</w:t>
            </w:r>
          </w:p>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13 979,72 м.</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ЯНАО, г. Новый Уренгой, жилрайон Лимбяяха</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 89-89-08/112/2012-459 от 29.11.2012 г. </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89:11:070101:2380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89:11:000000:1/чзу1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rPr>
          <w:trHeight w:val="36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10 439 900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1 879 182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12 319 082</w:t>
            </w:r>
          </w:p>
        </w:tc>
      </w:tr>
      <w:tr w:rsidR="00CF281E" w:rsidRPr="00CF281E" w:rsidTr="00FC471E">
        <w:trPr>
          <w:trHeight w:val="294"/>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1.2.</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9 201 300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1 656 234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10 857 534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1.3.</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1</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9 369 800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1 686 564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11 056 364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1.4.</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2</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7 425 100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1 336 518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8 761 618</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1.5.</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5 934 300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1 068 174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7 002 474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1.6.</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6 248 900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1 124 802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7 373 702</w:t>
            </w:r>
          </w:p>
        </w:tc>
      </w:tr>
      <w:tr w:rsidR="00CF281E" w:rsidRPr="00CF281E" w:rsidTr="00FC471E">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1.7.</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подъездной ж/д путь</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63 791 400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11 482 452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75 273 852</w:t>
            </w:r>
          </w:p>
        </w:tc>
      </w:tr>
      <w:tr w:rsidR="00CF281E" w:rsidRPr="00CF281E" w:rsidTr="00FC471E">
        <w:trPr>
          <w:trHeight w:val="21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1.8.</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8 848 500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1 592 730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10 441 230</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1.9.</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19 806 600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3 565 188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23 371 788</w:t>
            </w:r>
          </w:p>
        </w:tc>
      </w:tr>
      <w:tr w:rsidR="00CF281E" w:rsidRPr="00CF281E" w:rsidTr="00FC471E">
        <w:tc>
          <w:tcPr>
            <w:tcW w:w="724"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1.10.</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водопропускная труба</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201 900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36 342</w:t>
            </w:r>
          </w:p>
        </w:tc>
        <w:tc>
          <w:tcPr>
            <w:tcW w:w="121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238 242</w:t>
            </w:r>
          </w:p>
        </w:tc>
      </w:tr>
    </w:tbl>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X="-176" w:tblpY="29"/>
        <w:tblW w:w="15701" w:type="dxa"/>
        <w:tblLayout w:type="fixed"/>
        <w:tblCellMar>
          <w:left w:w="10" w:type="dxa"/>
          <w:right w:w="10" w:type="dxa"/>
        </w:tblCellMar>
        <w:tblLook w:val="04A0" w:firstRow="1" w:lastRow="0" w:firstColumn="1" w:lastColumn="0" w:noHBand="0" w:noVBand="1"/>
      </w:tblPr>
      <w:tblGrid>
        <w:gridCol w:w="724"/>
        <w:gridCol w:w="1511"/>
        <w:gridCol w:w="3260"/>
        <w:gridCol w:w="1417"/>
        <w:gridCol w:w="1701"/>
        <w:gridCol w:w="1843"/>
        <w:gridCol w:w="1985"/>
        <w:gridCol w:w="1134"/>
        <w:gridCol w:w="1134"/>
        <w:gridCol w:w="992"/>
      </w:tblGrid>
      <w:tr w:rsidR="00CF281E" w:rsidRPr="00CF281E" w:rsidTr="00FC471E">
        <w:trPr>
          <w:trHeight w:hRule="exact" w:val="284"/>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1"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3</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1" w:type="dxa"/>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1843"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1.11.</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ж/б мост (1 пролет)</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89-89-08/112/2012-459 от 29.11.2012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3 054 500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549 810</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3 604 310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1.12.</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Водопропускные трубы 1 200 мм, 3 шт.</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952 100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171 378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1 123 478</w:t>
            </w:r>
          </w:p>
        </w:tc>
      </w:tr>
      <w:tr w:rsidR="00CF281E" w:rsidRPr="00CF281E" w:rsidTr="00FC471E">
        <w:trPr>
          <w:trHeight w:hRule="exact" w:val="2889"/>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Внутриплощадочные железнодорожные пути: в том числе Стройбаза № 1: № 1, 2, 19, 20, Подъездной путь к Стройбазе № 2, Стройбаза № 2: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 1,2,4,6,10 линейное сооружение протяженностью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5 135 м.</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89-89/008-89/008/201/2016-13288/1 от 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89:11:070101:3574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89:11:070101:2558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(ЗУ3)</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89:11:070101:836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6 047 000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1 088 460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7 135 460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2.2.</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4 743 500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853 830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5 597 330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2.3.</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19</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2 651 800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477 324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3 129 124</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2.4.</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20</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1 060 900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190 962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1 251 862</w:t>
            </w:r>
          </w:p>
        </w:tc>
      </w:tr>
      <w:tr w:rsidR="00CF281E" w:rsidRPr="00CF281E" w:rsidTr="00FC471E">
        <w:trPr>
          <w:trHeight w:hRule="exact" w:val="56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2.5.</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line="240" w:lineRule="auto"/>
              <w:ind w:left="-108" w:firstLine="108"/>
              <w:jc w:val="center"/>
              <w:rPr>
                <w:rFonts w:ascii="Times New Roman" w:hAnsi="Times New Roman"/>
                <w:noProof/>
                <w:sz w:val="24"/>
                <w:szCs w:val="24"/>
              </w:rPr>
            </w:pPr>
            <w:r w:rsidRPr="00CF281E">
              <w:rPr>
                <w:rFonts w:ascii="Times New Roman" w:hAnsi="Times New Roman"/>
                <w:noProof/>
                <w:sz w:val="24"/>
                <w:szCs w:val="24"/>
              </w:rPr>
              <w:t>Подъездной путь к Стройбазе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5 423 600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976 248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6 399 848</w:t>
            </w:r>
          </w:p>
        </w:tc>
      </w:tr>
      <w:tr w:rsidR="00CF281E" w:rsidRPr="00CF281E" w:rsidTr="00FC471E">
        <w:trPr>
          <w:trHeight w:val="295"/>
        </w:trPr>
        <w:tc>
          <w:tcPr>
            <w:tcW w:w="72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2.6.</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4 597 100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827 487</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5 424 578</w:t>
            </w:r>
          </w:p>
        </w:tc>
      </w:tr>
      <w:tr w:rsidR="00CF281E" w:rsidRPr="00CF281E" w:rsidTr="00FC471E">
        <w:trPr>
          <w:trHeight w:val="370"/>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2.7.</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noProof/>
                <w:sz w:val="24"/>
                <w:szCs w:val="24"/>
              </w:rPr>
            </w:pPr>
            <w:r w:rsidRPr="00CF281E">
              <w:rPr>
                <w:rFonts w:ascii="Times New Roman" w:hAnsi="Times New Roman"/>
                <w:noProof/>
                <w:sz w:val="24"/>
                <w:szCs w:val="24"/>
              </w:rPr>
              <w:t>Стройбаза № 2: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eastAsia="Times New Roman" w:hAnsi="Times New Roman"/>
                <w:noProof/>
                <w:color w:val="000000"/>
                <w:sz w:val="24"/>
                <w:szCs w:val="24"/>
              </w:rPr>
            </w:pP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3 461 400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623 052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4 084 452</w:t>
            </w:r>
          </w:p>
        </w:tc>
      </w:tr>
      <w:tr w:rsidR="00CF281E" w:rsidRPr="00CF281E" w:rsidTr="00FC471E">
        <w:trPr>
          <w:trHeight w:val="276"/>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2.8.</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4</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7 480 900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1 346 562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8 827 462</w:t>
            </w:r>
          </w:p>
        </w:tc>
      </w:tr>
      <w:tr w:rsidR="00CF281E" w:rsidRPr="00CF281E" w:rsidTr="00FC471E">
        <w:trPr>
          <w:trHeight w:val="422"/>
        </w:trPr>
        <w:tc>
          <w:tcPr>
            <w:tcW w:w="724" w:type="dxa"/>
            <w:tcBorders>
              <w:top w:val="single" w:sz="4" w:space="0" w:color="auto"/>
              <w:left w:val="single" w:sz="4" w:space="0" w:color="auto"/>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2.9.</w:t>
            </w:r>
          </w:p>
        </w:tc>
        <w:tc>
          <w:tcPr>
            <w:tcW w:w="151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6</w:t>
            </w:r>
          </w:p>
          <w:p w:rsidR="00CF281E" w:rsidRPr="00CF281E" w:rsidRDefault="00CF281E" w:rsidP="00CF281E">
            <w:pPr>
              <w:spacing w:after="0" w:line="240" w:lineRule="auto"/>
              <w:rPr>
                <w:rFonts w:ascii="Times New Roman" w:hAnsi="Times New Roman"/>
                <w:noProof/>
                <w:sz w:val="24"/>
                <w:szCs w:val="24"/>
              </w:rPr>
            </w:pPr>
          </w:p>
        </w:tc>
        <w:tc>
          <w:tcPr>
            <w:tcW w:w="1417"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p>
        </w:tc>
        <w:tc>
          <w:tcPr>
            <w:tcW w:w="1134" w:type="dxa"/>
            <w:tcBorders>
              <w:top w:val="single" w:sz="4" w:space="0" w:color="auto"/>
              <w:left w:val="single" w:sz="4" w:space="0" w:color="000000"/>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747 500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134 550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882 050</w:t>
            </w:r>
          </w:p>
        </w:tc>
      </w:tr>
    </w:tbl>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Y="485"/>
        <w:tblW w:w="15638" w:type="dxa"/>
        <w:tblLayout w:type="fixed"/>
        <w:tblCellMar>
          <w:left w:w="10" w:type="dxa"/>
          <w:right w:w="10" w:type="dxa"/>
        </w:tblCellMar>
        <w:tblLook w:val="04A0" w:firstRow="1" w:lastRow="0" w:firstColumn="1" w:lastColumn="0" w:noHBand="0" w:noVBand="1"/>
      </w:tblPr>
      <w:tblGrid>
        <w:gridCol w:w="724"/>
        <w:gridCol w:w="1513"/>
        <w:gridCol w:w="2410"/>
        <w:gridCol w:w="1583"/>
        <w:gridCol w:w="1700"/>
        <w:gridCol w:w="2126"/>
        <w:gridCol w:w="2103"/>
        <w:gridCol w:w="1134"/>
        <w:gridCol w:w="1134"/>
        <w:gridCol w:w="1211"/>
      </w:tblGrid>
      <w:tr w:rsidR="00CF281E" w:rsidRPr="00CF281E" w:rsidTr="00FC471E">
        <w:trPr>
          <w:trHeight w:val="276"/>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lastRenderedPageBreak/>
              <w:t>1</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3</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val="1385"/>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2.10.</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w:t>
            </w:r>
          </w:p>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 10</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запись в Едином государственном реестре прав за № 89-89/008-89/008/201/2016-13288/1 от 15.09.2016 г.</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6 588 200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1 185 876</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7 774 076</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3.</w:t>
            </w:r>
          </w:p>
        </w:tc>
        <w:tc>
          <w:tcPr>
            <w:tcW w:w="15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Внутриплощадочный железнодорожный путь № 14, линейное сооружение протяженностью 268 м.</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89-89/008-89/008/201/2016-13292/1 от 15.09.2016 г.</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2 090 400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376 272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2 466 672</w:t>
            </w:r>
          </w:p>
        </w:tc>
      </w:tr>
    </w:tbl>
    <w:p w:rsidR="00CF281E" w:rsidRP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Pr="00CF281E" w:rsidRDefault="00CF281E" w:rsidP="00CF281E">
      <w:pPr>
        <w:spacing w:after="0" w:line="240" w:lineRule="auto"/>
        <w:jc w:val="center"/>
        <w:rPr>
          <w:rFonts w:ascii="Times New Roman" w:eastAsia="Times New Roman" w:hAnsi="Times New Roman"/>
          <w:sz w:val="24"/>
          <w:lang w:eastAsia="ru-RU"/>
        </w:rPr>
      </w:pPr>
      <w:r w:rsidRPr="00CF281E">
        <w:rPr>
          <w:rFonts w:ascii="Times New Roman" w:eastAsia="Times New Roman" w:hAnsi="Times New Roman"/>
          <w:b/>
          <w:sz w:val="24"/>
          <w:lang w:eastAsia="ru-RU"/>
        </w:rPr>
        <w:t xml:space="preserve">Перечень земельных участков </w:t>
      </w:r>
    </w:p>
    <w:tbl>
      <w:tblPr>
        <w:tblpPr w:leftFromText="180" w:rightFromText="180" w:vertAnchor="text" w:horzAnchor="margin" w:tblpY="386"/>
        <w:tblW w:w="15701" w:type="dxa"/>
        <w:tblLayout w:type="fixed"/>
        <w:tblCellMar>
          <w:left w:w="10" w:type="dxa"/>
          <w:right w:w="10" w:type="dxa"/>
        </w:tblCellMar>
        <w:tblLook w:val="04A0" w:firstRow="1" w:lastRow="0" w:firstColumn="1" w:lastColumn="0" w:noHBand="0" w:noVBand="1"/>
      </w:tblPr>
      <w:tblGrid>
        <w:gridCol w:w="567"/>
        <w:gridCol w:w="2093"/>
        <w:gridCol w:w="1134"/>
        <w:gridCol w:w="1276"/>
        <w:gridCol w:w="1701"/>
        <w:gridCol w:w="1701"/>
        <w:gridCol w:w="2409"/>
        <w:gridCol w:w="1843"/>
        <w:gridCol w:w="1418"/>
        <w:gridCol w:w="1559"/>
      </w:tblGrid>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ind w:hanging="15"/>
              <w:jc w:val="center"/>
              <w:rPr>
                <w:rFonts w:ascii="Times New Roman" w:eastAsia="Times New Roman" w:hAnsi="Times New Roman"/>
                <w:lang w:eastAsia="ru-RU"/>
              </w:rPr>
            </w:pPr>
            <w:r w:rsidRPr="00CF281E">
              <w:rPr>
                <w:rFonts w:ascii="Times New Roman" w:eastAsia="Segoe UI Symbol" w:hAnsi="Times New Roman"/>
                <w:lang w:eastAsia="ru-RU"/>
              </w:rPr>
              <w:t xml:space="preserve">№ </w:t>
            </w:r>
            <w:r w:rsidRPr="00CF281E">
              <w:rPr>
                <w:rFonts w:ascii="Times New Roman" w:eastAsia="Times New Roman" w:hAnsi="Times New Roman"/>
                <w:lang w:eastAsia="ru-RU"/>
              </w:rPr>
              <w:t>п/п</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Категория земель</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Продавца на земельный участок</w:t>
            </w:r>
          </w:p>
        </w:tc>
        <w:tc>
          <w:tcPr>
            <w:tcW w:w="24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Наименование и реквизиты (серия, номер, дата) правоустанавливающего или правоудостоверяющего документа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на земельный участок, предоставляемый Покупателю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 xml:space="preserve">Цена без НДС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Цена, с учетом НДС</w:t>
            </w:r>
          </w:p>
        </w:tc>
      </w:tr>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3</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6</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7</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8</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r w:rsidRPr="00CF281E">
              <w:rPr>
                <w:rFonts w:ascii="Times New Roman" w:eastAsia="Times New Roman" w:hAnsi="Times New Roman"/>
                <w:color w:val="000000"/>
                <w:lang w:eastAsia="ru-RU"/>
              </w:rPr>
              <w:t>9</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p>
        </w:tc>
      </w:tr>
      <w:tr w:rsidR="00CF281E" w:rsidRPr="00CF281E" w:rsidTr="00FC471E">
        <w:trPr>
          <w:trHeight w:hRule="exact" w:val="1255"/>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89:11:070101:2380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46 191</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лесного фонда</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Строительство, реконструкция, эксплуатация линейных объектов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аренда</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151/Л-12 от 03.07.2012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 xml:space="preserve">Земельный участок переходит от Продавца к </w:t>
            </w:r>
            <w:r w:rsidRPr="00CF281E">
              <w:rPr>
                <w:rFonts w:ascii="Times New Roman" w:hAnsi="Times New Roman"/>
                <w:lang w:eastAsia="ru-RU"/>
              </w:rPr>
              <w:lastRenderedPageBreak/>
              <w:t>Покупателю согласно п. 3. ст. 552 ГК РФ и ст. 35 ЗК РФ</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15 982 086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18 858 861,48</w:t>
            </w:r>
          </w:p>
        </w:tc>
      </w:tr>
      <w:tr w:rsidR="00CF281E" w:rsidRPr="00CF281E" w:rsidTr="00FC471E">
        <w:trPr>
          <w:trHeight w:hRule="exact" w:val="1152"/>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lastRenderedPageBreak/>
              <w:t>2</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89:11:000000:1/чзу1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12 896</w:t>
            </w:r>
          </w:p>
        </w:tc>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полоса отвода железнодорожного транспорта ОАО «РЖД»</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Договор аренды на оформлении у Арендодателя (ОАО «РЖД»)</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highlight w:val="cyan"/>
                <w:lang w:eastAsia="ru-RU"/>
              </w:rPr>
            </w:pPr>
            <w:r w:rsidRPr="00CF281E">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val="en-US" w:eastAsia="ru-RU"/>
              </w:rPr>
            </w:pPr>
            <w:r w:rsidRPr="00CF281E">
              <w:rPr>
                <w:rFonts w:ascii="Times New Roman" w:hAnsi="Times New Roman"/>
                <w:lang w:val="en-US"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89:11:070101:421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7 706</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Для размещения электростанций обслуживающих их сооружений и объектов</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НУ/л-386 от 14.12.2012 г., (рег.№ 89-89-08/313/2014-470 от 30.06.2014 г.)</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3 321 286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3 919 117,48</w:t>
            </w:r>
          </w:p>
        </w:tc>
      </w:tr>
      <w:tr w:rsidR="00CF281E" w:rsidRPr="00CF281E" w:rsidTr="00FC471E">
        <w:trPr>
          <w:trHeight w:hRule="exac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4914</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2 280 096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2 690 513,28</w:t>
            </w:r>
          </w:p>
        </w:tc>
      </w:tr>
      <w:tr w:rsidR="00CF281E" w:rsidRPr="00CF281E" w:rsidTr="00FC471E">
        <w:trPr>
          <w:trHeight w:hRule="exact" w:val="576"/>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5</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1775</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972 700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1147 786</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4 587</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2 151 303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2 538 537,54</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7</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89:11:070101:836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6 372</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2 829 168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3 338 418,24</w:t>
            </w:r>
          </w:p>
        </w:tc>
      </w:tr>
      <w:tr w:rsidR="00CF281E" w:rsidRPr="00CF281E" w:rsidTr="00FC471E">
        <w:tc>
          <w:tcPr>
            <w:tcW w:w="5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8</w:t>
            </w:r>
          </w:p>
        </w:tc>
        <w:tc>
          <w:tcPr>
            <w:tcW w:w="20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highlight w:val="yellow"/>
                <w:lang w:eastAsia="ru-RU"/>
              </w:rPr>
            </w:pPr>
            <w:r w:rsidRPr="00CF281E">
              <w:rPr>
                <w:rFonts w:ascii="Times New Roman" w:eastAsia="Times New Roman" w:hAnsi="Times New Roman"/>
                <w:lang w:eastAsia="ru-RU"/>
              </w:rPr>
              <w:t>89:11:070101:3574*</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95 994</w:t>
            </w:r>
          </w:p>
        </w:tc>
        <w:tc>
          <w:tcPr>
            <w:tcW w:w="127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tc>
        <w:tc>
          <w:tcPr>
            <w:tcW w:w="170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собственность</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 xml:space="preserve">Запись в выписке из ЕГРП за № 89-89/008-89/008/201/2016-11092/1 от 25.07.2016 </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35 997 750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p w:rsidR="00CF281E" w:rsidRPr="00CF281E" w:rsidRDefault="00CF281E" w:rsidP="00CF281E">
            <w:pPr>
              <w:spacing w:after="0" w:line="240" w:lineRule="auto"/>
              <w:jc w:val="center"/>
              <w:rPr>
                <w:rFonts w:ascii="Times New Roman" w:hAnsi="Times New Roman"/>
                <w:lang w:eastAsia="ru-RU"/>
              </w:rPr>
            </w:pPr>
          </w:p>
        </w:tc>
      </w:tr>
      <w:tr w:rsidR="00CF281E" w:rsidRPr="00CF281E" w:rsidTr="00FC471E">
        <w:tc>
          <w:tcPr>
            <w:tcW w:w="15701" w:type="dxa"/>
            <w:gridSpan w:val="10"/>
            <w:tcBorders>
              <w:top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eastAsia="Times New Roman" w:hAnsi="Times New Roman"/>
                <w:sz w:val="20"/>
                <w:szCs w:val="20"/>
                <w:lang w:eastAsia="ru-RU"/>
              </w:rPr>
              <w:t>*Не является объектом налогообложения, в соответствии с пп.6 п.2 ст.146 Налогового кодекса Российской Федерации.</w:t>
            </w:r>
          </w:p>
        </w:tc>
      </w:tr>
    </w:tbl>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 w:rsidR="00C703B7" w:rsidRPr="00C703B7" w:rsidRDefault="00C703B7" w:rsidP="00C703B7"/>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lastRenderedPageBreak/>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FC471E">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FC471E">
            <w:pPr>
              <w:spacing w:after="0" w:line="240" w:lineRule="auto"/>
              <w:jc w:val="both"/>
              <w:rPr>
                <w:rFonts w:ascii="Arial" w:hAnsi="Arial" w:cs="Arial"/>
                <w:sz w:val="24"/>
                <w:szCs w:val="24"/>
                <w:lang w:eastAsia="ru-RU"/>
              </w:rPr>
            </w:pPr>
          </w:p>
        </w:tc>
        <w:tc>
          <w:tcPr>
            <w:tcW w:w="6684" w:type="dxa"/>
          </w:tcPr>
          <w:p w:rsidR="0023782D" w:rsidRPr="006627B4" w:rsidRDefault="0023782D" w:rsidP="00FC471E">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7"/>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B7" w:rsidRDefault="00C703B7" w:rsidP="0043075E">
      <w:pPr>
        <w:spacing w:after="0" w:line="240" w:lineRule="auto"/>
      </w:pPr>
      <w:r>
        <w:separator/>
      </w:r>
    </w:p>
  </w:endnote>
  <w:endnote w:type="continuationSeparator" w:id="0">
    <w:p w:rsidR="00C703B7" w:rsidRDefault="00C703B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d"/>
      <w:ind w:right="360"/>
    </w:pPr>
  </w:p>
  <w:p w:rsidR="00C703B7" w:rsidRDefault="00C703B7"/>
  <w:p w:rsidR="00C703B7" w:rsidRDefault="00C703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D3131">
      <w:rPr>
        <w:rStyle w:val="af"/>
        <w:noProof/>
      </w:rPr>
      <w:t>31</w:t>
    </w:r>
    <w:r>
      <w:rPr>
        <w:rStyle w:val="af"/>
      </w:rPr>
      <w:fldChar w:fldCharType="end"/>
    </w:r>
  </w:p>
  <w:p w:rsidR="00C703B7" w:rsidRDefault="00C703B7" w:rsidP="00342201">
    <w:pPr>
      <w:pStyle w:val="ad"/>
      <w:ind w:right="360"/>
    </w:pPr>
  </w:p>
  <w:p w:rsidR="00C703B7" w:rsidRDefault="00C703B7"/>
  <w:p w:rsidR="00C703B7" w:rsidRDefault="00C70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B7" w:rsidRDefault="00C703B7" w:rsidP="0043075E">
      <w:pPr>
        <w:spacing w:after="0" w:line="240" w:lineRule="auto"/>
      </w:pPr>
      <w:r>
        <w:separator/>
      </w:r>
    </w:p>
  </w:footnote>
  <w:footnote w:type="continuationSeparator" w:id="0">
    <w:p w:rsidR="00C703B7" w:rsidRDefault="00C703B7" w:rsidP="0043075E">
      <w:pPr>
        <w:spacing w:after="0" w:line="240" w:lineRule="auto"/>
      </w:pPr>
      <w:r>
        <w:continuationSeparator/>
      </w:r>
    </w:p>
  </w:footnote>
  <w:footnote w:id="1">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C703B7" w:rsidRDefault="00C703B7"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C703B7" w:rsidRPr="00B964E5" w:rsidTr="00B964E5">
      <w:tc>
        <w:tcPr>
          <w:tcW w:w="3240" w:type="dxa"/>
        </w:tcPr>
        <w:p w:rsidR="00C703B7" w:rsidRPr="00B964E5" w:rsidRDefault="00C703B7"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606023573" r:id="rId2"/>
            </w:object>
          </w:r>
        </w:p>
      </w:tc>
      <w:tc>
        <w:tcPr>
          <w:tcW w:w="9180" w:type="dxa"/>
          <w:vAlign w:val="center"/>
        </w:tcPr>
        <w:p w:rsidR="00C703B7" w:rsidRPr="00B964E5" w:rsidRDefault="00C703B7"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C703B7" w:rsidRPr="00B964E5" w:rsidRDefault="00C703B7" w:rsidP="006627B4">
          <w:pPr>
            <w:pStyle w:val="a4"/>
            <w:rPr>
              <w:rFonts w:ascii="Arial" w:hAnsi="Arial" w:cs="Arial"/>
            </w:rPr>
          </w:pPr>
          <w:r w:rsidRPr="00B964E5">
            <w:rPr>
              <w:rFonts w:ascii="Arial" w:hAnsi="Arial" w:cs="Arial"/>
            </w:rPr>
            <w:t>Версия 1</w:t>
          </w:r>
        </w:p>
        <w:p w:rsidR="00C703B7" w:rsidRPr="00B964E5" w:rsidRDefault="00C703B7" w:rsidP="006627B4">
          <w:pPr>
            <w:pStyle w:val="a4"/>
            <w:rPr>
              <w:rFonts w:ascii="Arial" w:hAnsi="Arial" w:cs="Arial"/>
            </w:rPr>
          </w:pPr>
        </w:p>
      </w:tc>
    </w:tr>
  </w:tbl>
  <w:p w:rsidR="00C703B7" w:rsidRDefault="00C703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4"/>
      <w:ind w:right="360" w:firstLine="360"/>
    </w:pPr>
  </w:p>
  <w:p w:rsidR="00C703B7" w:rsidRDefault="00C703B7"/>
  <w:p w:rsidR="00C703B7" w:rsidRDefault="00C703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3782D"/>
    <w:rsid w:val="00244EEC"/>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D3131"/>
    <w:rsid w:val="00AE2C98"/>
    <w:rsid w:val="00AE5034"/>
    <w:rsid w:val="00B03C3D"/>
    <w:rsid w:val="00B0463A"/>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718E"/>
    <w:rsid w:val="00CE62D0"/>
    <w:rsid w:val="00CF11FC"/>
    <w:rsid w:val="00CF281E"/>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31</Pages>
  <Words>7722</Words>
  <Characters>44017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120</cp:revision>
  <cp:lastPrinted>2017-04-26T03:47:00Z</cp:lastPrinted>
  <dcterms:created xsi:type="dcterms:W3CDTF">2015-06-09T10:53:00Z</dcterms:created>
  <dcterms:modified xsi:type="dcterms:W3CDTF">2018-12-11T03:53:00Z</dcterms:modified>
</cp:coreProperties>
</file>