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F72D2F"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Приложение № 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8D128E"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956A1F">
        <w:rPr>
          <w:rFonts w:ascii="Times New Roman" w:hAnsi="Times New Roman" w:cs="Times New Roman"/>
          <w:sz w:val="24"/>
          <w:szCs w:val="24"/>
        </w:rPr>
        <w:t xml:space="preserve"> </w:t>
      </w:r>
      <w:r w:rsidR="00096A60">
        <w:rPr>
          <w:rFonts w:ascii="Times New Roman" w:hAnsi="Times New Roman" w:cs="Times New Roman"/>
          <w:sz w:val="24"/>
          <w:szCs w:val="24"/>
        </w:rPr>
        <w:t>о</w:t>
      </w:r>
      <w:r w:rsidR="009F55A7">
        <w:rPr>
          <w:rFonts w:ascii="Times New Roman" w:hAnsi="Times New Roman" w:cs="Times New Roman"/>
          <w:sz w:val="24"/>
          <w:szCs w:val="24"/>
        </w:rPr>
        <w:t>т</w:t>
      </w:r>
      <w:r w:rsidR="00096A60" w:rsidRPr="000E3C9B">
        <w:rPr>
          <w:rFonts w:ascii="Times New Roman" w:hAnsi="Times New Roman" w:cs="Times New Roman"/>
          <w:sz w:val="24"/>
          <w:szCs w:val="24"/>
        </w:rPr>
        <w:t xml:space="preserve"> </w:t>
      </w:r>
      <w:r w:rsidR="002C3D31">
        <w:rPr>
          <w:rFonts w:ascii="Times New Roman" w:hAnsi="Times New Roman" w:cs="Times New Roman"/>
          <w:sz w:val="24"/>
          <w:szCs w:val="24"/>
        </w:rPr>
        <w:t>«___</w:t>
      </w:r>
      <w:r w:rsidR="00096A60">
        <w:rPr>
          <w:rFonts w:ascii="Times New Roman" w:hAnsi="Times New Roman" w:cs="Times New Roman"/>
          <w:sz w:val="24"/>
          <w:szCs w:val="24"/>
        </w:rPr>
        <w:t>»</w:t>
      </w:r>
      <w:r w:rsidR="00956A1F">
        <w:rPr>
          <w:rFonts w:ascii="Times New Roman" w:hAnsi="Times New Roman" w:cs="Times New Roman"/>
          <w:sz w:val="24"/>
          <w:szCs w:val="24"/>
        </w:rPr>
        <w:t xml:space="preserve"> </w:t>
      </w:r>
      <w:r w:rsidR="00507042">
        <w:rPr>
          <w:rFonts w:ascii="Times New Roman" w:hAnsi="Times New Roman" w:cs="Times New Roman"/>
          <w:sz w:val="24"/>
          <w:szCs w:val="24"/>
        </w:rPr>
        <w:t xml:space="preserve">января </w:t>
      </w:r>
      <w:r w:rsidR="002C3D31">
        <w:rPr>
          <w:rFonts w:ascii="Times New Roman" w:hAnsi="Times New Roman" w:cs="Times New Roman"/>
          <w:sz w:val="24"/>
          <w:szCs w:val="24"/>
        </w:rPr>
        <w:t>2018</w:t>
      </w:r>
      <w:r w:rsidR="00FA07D6" w:rsidRPr="00FA07D6">
        <w:rPr>
          <w:rFonts w:ascii="Times New Roman" w:hAnsi="Times New Roman" w:cs="Times New Roman"/>
          <w:sz w:val="24"/>
          <w:szCs w:val="24"/>
        </w:rPr>
        <w:t xml:space="preserve"> №</w:t>
      </w:r>
      <w:r w:rsidR="002C3D31">
        <w:rPr>
          <w:rFonts w:ascii="Times New Roman" w:hAnsi="Times New Roman" w:cs="Times New Roman"/>
          <w:sz w:val="24"/>
          <w:szCs w:val="24"/>
        </w:rPr>
        <w:t>_</w:t>
      </w:r>
      <w:r w:rsidR="00507042">
        <w:rPr>
          <w:rFonts w:ascii="Times New Roman" w:hAnsi="Times New Roman" w:cs="Times New Roman"/>
          <w:sz w:val="24"/>
          <w:szCs w:val="24"/>
        </w:rPr>
        <w:t>__</w:t>
      </w:r>
      <w:bookmarkStart w:id="0" w:name="_GoBack"/>
      <w:bookmarkEnd w:id="0"/>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FA2D56">
        <w:rPr>
          <w:rFonts w:ascii="Times New Roman" w:hAnsi="Times New Roman" w:cs="Times New Roman"/>
          <w:b/>
          <w:sz w:val="24"/>
          <w:szCs w:val="24"/>
        </w:rPr>
        <w:t>16</w:t>
      </w:r>
      <w:r w:rsidR="002C3D31">
        <w:rPr>
          <w:rFonts w:ascii="Times New Roman" w:hAnsi="Times New Roman" w:cs="Times New Roman"/>
          <w:b/>
          <w:sz w:val="24"/>
          <w:szCs w:val="24"/>
        </w:rPr>
        <w:t>.01.2018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2C3D31">
        <w:rPr>
          <w:rFonts w:ascii="Times New Roman" w:hAnsi="Times New Roman" w:cs="Times New Roman"/>
          <w:b/>
          <w:sz w:val="24"/>
          <w:szCs w:val="24"/>
        </w:rPr>
        <w:t>15</w:t>
      </w:r>
      <w:r w:rsidR="00956A1F">
        <w:rPr>
          <w:rFonts w:ascii="Times New Roman" w:hAnsi="Times New Roman" w:cs="Times New Roman"/>
          <w:b/>
          <w:sz w:val="24"/>
          <w:szCs w:val="24"/>
        </w:rPr>
        <w:t>.</w:t>
      </w:r>
      <w:r w:rsidR="002C3D31">
        <w:rPr>
          <w:rFonts w:ascii="Times New Roman" w:hAnsi="Times New Roman" w:cs="Times New Roman"/>
          <w:b/>
          <w:sz w:val="24"/>
          <w:szCs w:val="24"/>
        </w:rPr>
        <w:t>02</w:t>
      </w:r>
      <w:r w:rsidR="006A7EBD">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FA2D56">
        <w:rPr>
          <w:rFonts w:ascii="Times New Roman" w:hAnsi="Times New Roman" w:cs="Times New Roman"/>
          <w:sz w:val="24"/>
          <w:szCs w:val="24"/>
        </w:rPr>
        <w:t xml:space="preserve"> Тюменская </w:t>
      </w:r>
      <w:r w:rsidR="00EE3240" w:rsidRPr="008D128E">
        <w:rPr>
          <w:rFonts w:ascii="Times New Roman" w:hAnsi="Times New Roman" w:cs="Times New Roman"/>
          <w:sz w:val="24"/>
          <w:szCs w:val="24"/>
        </w:rPr>
        <w:t>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BC386D" w:rsidRPr="004618B4" w:rsidRDefault="004618B4" w:rsidP="004618B4">
      <w:pPr>
        <w:tabs>
          <w:tab w:val="left" w:pos="1134"/>
        </w:tabs>
        <w:ind w:left="567" w:hanging="567"/>
        <w:jc w:val="both"/>
        <w:rPr>
          <w:rFonts w:ascii="Times New Roman" w:eastAsia="Times New Roman" w:hAnsi="Times New Roman" w:cs="Times New Roman"/>
          <w:i/>
          <w:color w:val="0000FF" w:themeColor="hyperlink"/>
          <w:sz w:val="24"/>
          <w:szCs w:val="24"/>
          <w:u w:val="single"/>
          <w:lang w:eastAsia="ru-RU"/>
        </w:rPr>
      </w:pPr>
      <w:r>
        <w:rPr>
          <w:rFonts w:ascii="Times New Roman" w:hAnsi="Times New Roman" w:cs="Times New Roman"/>
          <w:sz w:val="24"/>
          <w:szCs w:val="24"/>
        </w:rPr>
        <w:t xml:space="preserve">         </w:t>
      </w:r>
      <w:r w:rsidR="00342201" w:rsidRPr="008D128E">
        <w:rPr>
          <w:rFonts w:ascii="Times New Roman" w:hAnsi="Times New Roman" w:cs="Times New Roman"/>
          <w:sz w:val="24"/>
          <w:szCs w:val="24"/>
        </w:rPr>
        <w:t>1.16.</w:t>
      </w:r>
      <w:r w:rsidR="00342201" w:rsidRPr="008D128E">
        <w:rPr>
          <w:rFonts w:ascii="Times New Roman" w:hAnsi="Times New Roman" w:cs="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cs="Times New Roman"/>
          <w:sz w:val="24"/>
          <w:szCs w:val="24"/>
        </w:rPr>
        <w:t xml:space="preserve"> </w:t>
      </w:r>
      <w:r w:rsidR="00342201" w:rsidRPr="008D128E">
        <w:rPr>
          <w:rFonts w:ascii="Times New Roman" w:hAnsi="Times New Roman" w:cs="Times New Roman"/>
          <w:sz w:val="24"/>
          <w:szCs w:val="24"/>
        </w:rPr>
        <w:t>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00342201"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00342201"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Pr="004618B4">
          <w:rPr>
            <w:rStyle w:val="ac"/>
            <w:rFonts w:ascii="Times New Roman" w:hAnsi="Times New Roman" w:cs="Times New Roman"/>
            <w:i/>
          </w:rPr>
          <w:t>zhelnina_ev@interrao.ru</w:t>
        </w:r>
      </w:hyperlink>
      <w:r w:rsidRPr="004618B4">
        <w:rPr>
          <w:rStyle w:val="ac"/>
          <w:rFonts w:ascii="Times New Roman" w:hAnsi="Times New Roman" w:cs="Times New Roman"/>
          <w:i/>
        </w:rPr>
        <w:t xml:space="preserve"> </w:t>
      </w:r>
      <w:r w:rsidRPr="004618B4">
        <w:rPr>
          <w:rStyle w:val="ac"/>
          <w:rFonts w:ascii="Times New Roman" w:hAnsi="Times New Roman" w:cs="Times New Roman"/>
        </w:rPr>
        <w:t>,</w:t>
      </w:r>
      <w:r w:rsidR="00BC386D" w:rsidRPr="004618B4">
        <w:rPr>
          <w:rFonts w:ascii="Times New Roman" w:hAnsi="Times New Roman" w:cs="Times New Roman"/>
          <w:color w:val="0000FF"/>
          <w:sz w:val="24"/>
          <w:szCs w:val="24"/>
        </w:rPr>
        <w:t xml:space="preserve"> </w:t>
      </w:r>
      <w:r w:rsidRPr="004618B4">
        <w:rPr>
          <w:rFonts w:ascii="Times New Roman" w:hAnsi="Times New Roman" w:cs="Times New Roman"/>
          <w:i/>
          <w:color w:val="0000FF"/>
          <w:sz w:val="24"/>
          <w:szCs w:val="24"/>
          <w:u w:val="single"/>
        </w:rPr>
        <w:t>emelyanenko_vo@interrao.ru</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sidR="00FA2D56">
        <w:rPr>
          <w:rFonts w:ascii="Times New Roman" w:hAnsi="Times New Roman" w:cs="Times New Roman"/>
          <w:sz w:val="24"/>
          <w:szCs w:val="24"/>
        </w:rPr>
        <w:t xml:space="preserve">астие в Запросе (при этом риски </w:t>
      </w:r>
      <w:r w:rsidRPr="008D128E">
        <w:rPr>
          <w:rFonts w:ascii="Times New Roman" w:hAnsi="Times New Roman" w:cs="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FA2D56">
        <w:rPr>
          <w:rFonts w:ascii="Times New Roman" w:hAnsi="Times New Roman" w:cs="Times New Roman"/>
          <w:b/>
          <w:sz w:val="24"/>
          <w:szCs w:val="24"/>
        </w:rPr>
        <w:t>16.01</w:t>
      </w:r>
      <w:r w:rsidR="003669FF">
        <w:rPr>
          <w:rFonts w:ascii="Times New Roman" w:hAnsi="Times New Roman" w:cs="Times New Roman"/>
          <w:b/>
          <w:sz w:val="24"/>
          <w:szCs w:val="24"/>
        </w:rPr>
        <w:t>.20</w:t>
      </w:r>
      <w:r w:rsidR="00FA2D56">
        <w:rPr>
          <w:rFonts w:ascii="Times New Roman" w:hAnsi="Times New Roman" w:cs="Times New Roman"/>
          <w:b/>
          <w:sz w:val="24"/>
          <w:szCs w:val="24"/>
        </w:rPr>
        <w:t>18 до 14</w:t>
      </w:r>
      <w:r w:rsidR="006A7EBD">
        <w:rPr>
          <w:rFonts w:ascii="Times New Roman" w:hAnsi="Times New Roman" w:cs="Times New Roman"/>
          <w:b/>
          <w:sz w:val="24"/>
          <w:szCs w:val="24"/>
        </w:rPr>
        <w:t>.</w:t>
      </w:r>
      <w:r w:rsidR="00FA2D56">
        <w:rPr>
          <w:rFonts w:ascii="Times New Roman" w:hAnsi="Times New Roman" w:cs="Times New Roman"/>
          <w:b/>
          <w:sz w:val="24"/>
          <w:szCs w:val="24"/>
        </w:rPr>
        <w:t>02</w:t>
      </w:r>
      <w:r w:rsidR="006A7EBD">
        <w:rPr>
          <w:rFonts w:ascii="Times New Roman" w:hAnsi="Times New Roman" w:cs="Times New Roman"/>
          <w:b/>
          <w:sz w:val="24"/>
          <w:szCs w:val="24"/>
        </w:rPr>
        <w:t>.2018</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1A3672">
        <w:rPr>
          <w:rFonts w:ascii="Times New Roman" w:hAnsi="Times New Roman" w:cs="Times New Roman"/>
          <w:b/>
          <w:sz w:val="24"/>
          <w:szCs w:val="24"/>
        </w:rPr>
        <w:t>12</w:t>
      </w:r>
      <w:r w:rsidR="00C41C81">
        <w:rPr>
          <w:rFonts w:ascii="Times New Roman" w:hAnsi="Times New Roman" w:cs="Times New Roman"/>
          <w:b/>
          <w:sz w:val="24"/>
          <w:szCs w:val="24"/>
        </w:rPr>
        <w:t>.00 часо</w:t>
      </w:r>
      <w:r w:rsidR="00FA2D56">
        <w:rPr>
          <w:rFonts w:ascii="Times New Roman" w:hAnsi="Times New Roman" w:cs="Times New Roman"/>
          <w:b/>
          <w:sz w:val="24"/>
          <w:szCs w:val="24"/>
        </w:rPr>
        <w:t>в 15</w:t>
      </w:r>
      <w:r w:rsidR="006A7EBD">
        <w:rPr>
          <w:rFonts w:ascii="Times New Roman" w:hAnsi="Times New Roman" w:cs="Times New Roman"/>
          <w:b/>
          <w:sz w:val="24"/>
          <w:szCs w:val="24"/>
        </w:rPr>
        <w:t>.</w:t>
      </w:r>
      <w:r w:rsidR="00FA2D56">
        <w:rPr>
          <w:rFonts w:ascii="Times New Roman" w:hAnsi="Times New Roman" w:cs="Times New Roman"/>
          <w:b/>
          <w:sz w:val="24"/>
          <w:szCs w:val="24"/>
        </w:rPr>
        <w:t>02</w:t>
      </w:r>
      <w:r w:rsidR="00096A60">
        <w:rPr>
          <w:rFonts w:ascii="Times New Roman" w:hAnsi="Times New Roman" w:cs="Times New Roman"/>
          <w:b/>
          <w:sz w:val="24"/>
          <w:szCs w:val="24"/>
        </w:rPr>
        <w:t>.2018</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3C6B8D" w:rsidRPr="001A3672" w:rsidRDefault="007314C9" w:rsidP="001A3672">
      <w:pPr>
        <w:spacing w:before="60" w:after="60"/>
        <w:jc w:val="center"/>
      </w:pPr>
      <w:r w:rsidRPr="00F60865">
        <w:rPr>
          <w:b/>
        </w:rPr>
        <w:t>Перечень имущества</w:t>
      </w:r>
    </w:p>
    <w:p w:rsidR="001A3672" w:rsidRDefault="001A3672" w:rsidP="001A3672">
      <w:pPr>
        <w:tabs>
          <w:tab w:val="left" w:pos="450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tbl>
      <w:tblPr>
        <w:tblW w:w="10372" w:type="dxa"/>
        <w:tblLook w:val="04A0" w:firstRow="1" w:lastRow="0" w:firstColumn="1" w:lastColumn="0" w:noHBand="0" w:noVBand="1"/>
      </w:tblPr>
      <w:tblGrid>
        <w:gridCol w:w="709"/>
        <w:gridCol w:w="776"/>
        <w:gridCol w:w="1832"/>
        <w:gridCol w:w="2637"/>
        <w:gridCol w:w="1583"/>
        <w:gridCol w:w="1394"/>
        <w:gridCol w:w="1441"/>
      </w:tblGrid>
      <w:tr w:rsidR="001A3672" w:rsidRPr="001A3672" w:rsidTr="001A3672">
        <w:trPr>
          <w:trHeight w:val="90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Номер лота</w:t>
            </w:r>
          </w:p>
        </w:tc>
        <w:tc>
          <w:tcPr>
            <w:tcW w:w="1832"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Наименование объекта</w:t>
            </w:r>
          </w:p>
        </w:tc>
        <w:tc>
          <w:tcPr>
            <w:tcW w:w="2637"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Характеристики объекта</w:t>
            </w:r>
          </w:p>
        </w:tc>
        <w:tc>
          <w:tcPr>
            <w:tcW w:w="1583"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24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инв. № </w:t>
            </w:r>
            <w:r w:rsidRPr="001A3672">
              <w:rPr>
                <w:rFonts w:ascii="Times New Roman" w:eastAsia="Times New Roman" w:hAnsi="Times New Roman" w:cs="Times New Roman"/>
                <w:color w:val="000000"/>
                <w:sz w:val="20"/>
                <w:szCs w:val="20"/>
                <w:lang w:eastAsia="ru-RU"/>
              </w:rPr>
              <w:br/>
              <w:t>объекта</w:t>
            </w:r>
          </w:p>
        </w:tc>
        <w:tc>
          <w:tcPr>
            <w:tcW w:w="1394"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без НДС, руб.</w:t>
            </w:r>
          </w:p>
        </w:tc>
        <w:tc>
          <w:tcPr>
            <w:tcW w:w="1441"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с НДС, руб.</w:t>
            </w:r>
          </w:p>
        </w:tc>
      </w:tr>
      <w:tr w:rsidR="001A3672" w:rsidRPr="001A3672" w:rsidTr="001A3672">
        <w:trPr>
          <w:trHeight w:val="464"/>
        </w:trPr>
        <w:tc>
          <w:tcPr>
            <w:tcW w:w="709" w:type="dxa"/>
            <w:vMerge w:val="restart"/>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hideMark/>
          </w:tcPr>
          <w:p w:rsidR="001A3672" w:rsidRPr="007A3521" w:rsidRDefault="001A3672" w:rsidP="001A3672">
            <w:pPr>
              <w:spacing w:after="0" w:line="240" w:lineRule="auto"/>
              <w:jc w:val="center"/>
              <w:rPr>
                <w:rFonts w:ascii="Times New Roman" w:eastAsia="Times New Roman" w:hAnsi="Times New Roman" w:cs="Times New Roman"/>
                <w:color w:val="000000"/>
                <w:sz w:val="20"/>
                <w:szCs w:val="20"/>
                <w:lang w:val="en-US" w:eastAsia="ru-RU"/>
              </w:rPr>
            </w:pPr>
            <w:r w:rsidRPr="001A3672">
              <w:rPr>
                <w:rFonts w:ascii="Times New Roman" w:eastAsia="Times New Roman" w:hAnsi="Times New Roman" w:cs="Times New Roman"/>
                <w:color w:val="000000"/>
                <w:sz w:val="20"/>
                <w:szCs w:val="20"/>
                <w:lang w:eastAsia="ru-RU"/>
              </w:rPr>
              <w:t>1</w:t>
            </w:r>
            <w:r w:rsidR="007A3521">
              <w:rPr>
                <w:rFonts w:ascii="Times New Roman" w:eastAsia="Times New Roman" w:hAnsi="Times New Roman" w:cs="Times New Roman"/>
                <w:color w:val="000000"/>
                <w:sz w:val="20"/>
                <w:szCs w:val="20"/>
                <w:lang w:val="en-US" w:eastAsia="ru-RU"/>
              </w:rPr>
              <w:t>1</w:t>
            </w: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b/>
                <w:bCs/>
                <w:color w:val="000000"/>
                <w:sz w:val="20"/>
                <w:szCs w:val="20"/>
                <w:lang w:eastAsia="ru-RU"/>
              </w:rPr>
            </w:pPr>
            <w:r w:rsidRPr="001A3672">
              <w:rPr>
                <w:rFonts w:ascii="Times New Roman" w:eastAsia="Times New Roman" w:hAnsi="Times New Roman" w:cs="Times New Roman"/>
                <w:b/>
                <w:bCs/>
                <w:color w:val="000000"/>
                <w:sz w:val="20"/>
                <w:szCs w:val="20"/>
                <w:lang w:eastAsia="ru-RU"/>
              </w:rPr>
              <w:t>Сооружение Подстанция «Промплощадка» 110/6 кВ</w:t>
            </w:r>
          </w:p>
        </w:tc>
        <w:tc>
          <w:tcPr>
            <w:tcW w:w="2637" w:type="dxa"/>
            <w:vMerge w:val="restart"/>
            <w:tcBorders>
              <w:top w:val="nil"/>
              <w:left w:val="single" w:sz="4" w:space="0" w:color="auto"/>
              <w:bottom w:val="single" w:sz="4" w:space="0" w:color="auto"/>
              <w:right w:val="single" w:sz="4" w:space="0" w:color="auto"/>
            </w:tcBorders>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583" w:type="dxa"/>
            <w:vMerge w:val="restart"/>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УРЕ1100013</w:t>
            </w:r>
          </w:p>
        </w:tc>
        <w:tc>
          <w:tcPr>
            <w:tcW w:w="1394" w:type="dxa"/>
            <w:tcBorders>
              <w:top w:val="nil"/>
              <w:left w:val="nil"/>
              <w:bottom w:val="single" w:sz="4" w:space="0" w:color="auto"/>
              <w:right w:val="single" w:sz="4" w:space="0" w:color="auto"/>
            </w:tcBorders>
            <w:noWrap/>
            <w:vAlign w:val="center"/>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8 800 000,00   </w:t>
            </w:r>
          </w:p>
        </w:tc>
        <w:tc>
          <w:tcPr>
            <w:tcW w:w="1441" w:type="dxa"/>
            <w:tcBorders>
              <w:top w:val="single" w:sz="4" w:space="0" w:color="auto"/>
              <w:left w:val="single" w:sz="4" w:space="0" w:color="auto"/>
              <w:bottom w:val="single" w:sz="4" w:space="0" w:color="auto"/>
              <w:right w:val="single" w:sz="4" w:space="0" w:color="auto"/>
            </w:tcBorders>
            <w:noWrap/>
            <w:vAlign w:val="center"/>
          </w:tcPr>
          <w:p w:rsidR="001A3672" w:rsidRPr="001A3672" w:rsidRDefault="001A3672" w:rsidP="001A3672">
            <w:pPr>
              <w:spacing w:after="160" w:line="256" w:lineRule="auto"/>
              <w:rPr>
                <w:rFonts w:ascii="Times New Roman" w:eastAsia="Calibri" w:hAnsi="Times New Roman" w:cs="Times New Roman"/>
                <w:color w:val="000000"/>
                <w:sz w:val="20"/>
                <w:szCs w:val="20"/>
              </w:rPr>
            </w:pPr>
          </w:p>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10 384 000,00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ограждение</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354 000,00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ЗРУ 110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УРЕ1100007</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5 300 000,00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6 254 000,00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ЗРУ 6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УРЕ1100008</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900 000,00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1 062 000,00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ОРУ 110 кВ</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УРЕ1100006</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16 200 000,00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19 116 000,00  </w:t>
            </w:r>
          </w:p>
        </w:tc>
      </w:tr>
      <w:tr w:rsidR="001A3672" w:rsidRPr="001A3672" w:rsidTr="001A3672">
        <w:trPr>
          <w:trHeight w:val="265"/>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РЗА ПС110/6</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УРЕ1100019</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2 300 000,00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2 714 000,00  </w:t>
            </w:r>
          </w:p>
        </w:tc>
      </w:tr>
      <w:tr w:rsidR="001A3672" w:rsidRPr="001A3672" w:rsidTr="001A3672">
        <w:trPr>
          <w:trHeight w:val="531"/>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автоматическая установка пожарной сигнализации</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УРЕ1400010</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11 800,00  </w:t>
            </w:r>
          </w:p>
        </w:tc>
      </w:tr>
      <w:tr w:rsidR="001A3672" w:rsidRPr="001A3672" w:rsidTr="001A3672">
        <w:trPr>
          <w:trHeight w:val="358"/>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nil"/>
              <w:left w:val="nil"/>
              <w:bottom w:val="single" w:sz="4" w:space="0" w:color="auto"/>
              <w:right w:val="single" w:sz="4" w:space="0" w:color="auto"/>
            </w:tcBorders>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щит постоянного тока</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УРЕ1100010</w:t>
            </w:r>
          </w:p>
        </w:tc>
        <w:tc>
          <w:tcPr>
            <w:tcW w:w="1394" w:type="dxa"/>
            <w:tcBorders>
              <w:top w:val="nil"/>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1 000 000,00   </w:t>
            </w:r>
          </w:p>
        </w:tc>
        <w:tc>
          <w:tcPr>
            <w:tcW w:w="1441" w:type="dxa"/>
            <w:tcBorders>
              <w:top w:val="nil"/>
              <w:left w:val="single" w:sz="4" w:space="0" w:color="auto"/>
              <w:bottom w:val="single" w:sz="4" w:space="0" w:color="auto"/>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1 180 000,00  </w:t>
            </w:r>
          </w:p>
        </w:tc>
      </w:tr>
      <w:tr w:rsidR="001A3672" w:rsidRPr="001A3672" w:rsidTr="001A3672">
        <w:trPr>
          <w:trHeight w:val="1082"/>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земельный участок</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89:11:070101:20</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1394"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2 000 000,00  </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b/>
                <w:bCs/>
                <w:color w:val="000000"/>
                <w:sz w:val="20"/>
                <w:szCs w:val="20"/>
                <w:lang w:eastAsia="ru-RU"/>
              </w:rPr>
              <w:t xml:space="preserve"> </w:t>
            </w:r>
          </w:p>
        </w:tc>
        <w:tc>
          <w:tcPr>
            <w:tcW w:w="1441" w:type="dxa"/>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160" w:line="256" w:lineRule="auto"/>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2 360 000,00  </w:t>
            </w:r>
          </w:p>
        </w:tc>
      </w:tr>
      <w:tr w:rsidR="001A3672" w:rsidRPr="001A3672" w:rsidTr="001A3672">
        <w:trPr>
          <w:trHeight w:val="680"/>
        </w:trPr>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832"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земельный участок</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72" w:rsidRPr="001A3672" w:rsidRDefault="001A3672" w:rsidP="001A3672">
            <w:pPr>
              <w:spacing w:after="0" w:line="256" w:lineRule="auto"/>
              <w:rPr>
                <w:rFonts w:ascii="Times New Roman" w:eastAsia="Times New Roman" w:hAnsi="Times New Roman" w:cs="Times New Roman"/>
                <w:color w:val="000000"/>
                <w:sz w:val="20"/>
                <w:szCs w:val="20"/>
                <w:lang w:eastAsia="ru-RU"/>
              </w:rPr>
            </w:pPr>
          </w:p>
        </w:tc>
        <w:tc>
          <w:tcPr>
            <w:tcW w:w="1583"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89:11:070101:19</w:t>
            </w:r>
          </w:p>
          <w:p w:rsidR="001A3672" w:rsidRPr="001A3672" w:rsidRDefault="001A3672"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1394" w:type="dxa"/>
            <w:tcBorders>
              <w:top w:val="single" w:sz="4" w:space="0" w:color="auto"/>
              <w:left w:val="nil"/>
              <w:bottom w:val="single" w:sz="4" w:space="0" w:color="auto"/>
              <w:right w:val="single" w:sz="4" w:space="0" w:color="auto"/>
            </w:tcBorders>
            <w:noWrap/>
            <w:vAlign w:val="center"/>
            <w:hideMark/>
          </w:tcPr>
          <w:p w:rsidR="001A3672" w:rsidRPr="001A3672" w:rsidRDefault="001A3672" w:rsidP="001A3672">
            <w:pPr>
              <w:spacing w:after="0" w:line="240" w:lineRule="auto"/>
              <w:jc w:val="right"/>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2 200 000,00  </w:t>
            </w:r>
            <w:r w:rsidRPr="001A3672">
              <w:rPr>
                <w:rFonts w:ascii="Times New Roman" w:eastAsia="Times New Roman" w:hAnsi="Times New Roman" w:cs="Times New Roman"/>
                <w:b/>
                <w:bCs/>
                <w:color w:val="000000"/>
                <w:sz w:val="20"/>
                <w:szCs w:val="20"/>
                <w:lang w:eastAsia="ru-RU"/>
              </w:rPr>
              <w:t xml:space="preserve">  </w:t>
            </w:r>
          </w:p>
        </w:tc>
        <w:tc>
          <w:tcPr>
            <w:tcW w:w="1441" w:type="dxa"/>
            <w:tcBorders>
              <w:top w:val="nil"/>
              <w:left w:val="single" w:sz="4" w:space="0" w:color="auto"/>
              <w:bottom w:val="single" w:sz="4" w:space="0" w:color="000000"/>
              <w:right w:val="single" w:sz="4" w:space="0" w:color="auto"/>
            </w:tcBorders>
            <w:noWrap/>
            <w:vAlign w:val="center"/>
            <w:hideMark/>
          </w:tcPr>
          <w:p w:rsidR="001A3672" w:rsidRPr="001A3672" w:rsidRDefault="001A3672"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2 596 000,00  </w:t>
            </w:r>
          </w:p>
        </w:tc>
      </w:tr>
    </w:tbl>
    <w:p w:rsidR="001A3672" w:rsidRPr="001A3672" w:rsidRDefault="001A3672" w:rsidP="001A3672">
      <w:pPr>
        <w:spacing w:after="160" w:line="256" w:lineRule="auto"/>
        <w:rPr>
          <w:rFonts w:ascii="Calibri" w:eastAsia="Calibri" w:hAnsi="Calibri" w:cs="Times New Roman"/>
        </w:rPr>
      </w:pPr>
    </w:p>
    <w:p w:rsidR="003C6B8D" w:rsidRDefault="003C6B8D" w:rsidP="001A3672">
      <w:pPr>
        <w:tabs>
          <w:tab w:val="left" w:pos="4500"/>
        </w:tabs>
        <w:spacing w:after="0" w:line="240" w:lineRule="auto"/>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BC386D" w:rsidRDefault="00BC386D"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450811" w:rsidRDefault="00450811" w:rsidP="001A3672">
      <w:pPr>
        <w:spacing w:after="0" w:line="240" w:lineRule="auto"/>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CB718E"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lastRenderedPageBreak/>
        <w:t>Приложение №6</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0E3C9B" w:rsidP="00606675">
      <w:pPr>
        <w:widowControl w:val="0"/>
        <w:shd w:val="clear" w:color="auto" w:fill="FFFFFF"/>
        <w:autoSpaceDE w:val="0"/>
        <w:autoSpaceDN w:val="0"/>
        <w:spacing w:after="120" w:line="240" w:lineRule="auto"/>
        <w:ind w:left="357"/>
        <w:rPr>
          <w:rFonts w:ascii="Times New Roman" w:eastAsia="Times New Roman" w:hAnsi="Times New Roman" w:cs="Times New Roman"/>
          <w:b/>
          <w:bCs/>
          <w:snapToGrid w:val="0"/>
          <w:sz w:val="28"/>
          <w:szCs w:val="28"/>
          <w:lang w:eastAsia="ru-RU"/>
        </w:rPr>
      </w:pPr>
      <w:r w:rsidRPr="000E3C9B">
        <w:rPr>
          <w:rFonts w:ascii="Arial" w:eastAsia="Times New Roman"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8"/>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p>
    <w:sectPr w:rsidR="006627B4"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F5" w:rsidRDefault="009910F5" w:rsidP="0043075E">
      <w:pPr>
        <w:spacing w:after="0" w:line="240" w:lineRule="auto"/>
      </w:pPr>
      <w:r>
        <w:separator/>
      </w:r>
    </w:p>
  </w:endnote>
  <w:endnote w:type="continuationSeparator" w:id="0">
    <w:p w:rsidR="009910F5" w:rsidRDefault="009910F5"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d"/>
      <w:ind w:right="360"/>
    </w:pPr>
  </w:p>
  <w:p w:rsidR="009910F5" w:rsidRDefault="009910F5"/>
  <w:p w:rsidR="009910F5" w:rsidRDefault="009910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07042">
      <w:rPr>
        <w:rStyle w:val="af"/>
        <w:noProof/>
      </w:rPr>
      <w:t>19</w:t>
    </w:r>
    <w:r>
      <w:rPr>
        <w:rStyle w:val="af"/>
      </w:rPr>
      <w:fldChar w:fldCharType="end"/>
    </w:r>
  </w:p>
  <w:p w:rsidR="009910F5" w:rsidRDefault="009910F5" w:rsidP="00342201">
    <w:pPr>
      <w:pStyle w:val="ad"/>
      <w:ind w:right="360"/>
    </w:pPr>
  </w:p>
  <w:p w:rsidR="009910F5" w:rsidRDefault="009910F5"/>
  <w:p w:rsidR="009910F5" w:rsidRDefault="00991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F5" w:rsidRDefault="009910F5" w:rsidP="0043075E">
      <w:pPr>
        <w:spacing w:after="0" w:line="240" w:lineRule="auto"/>
      </w:pPr>
      <w:r>
        <w:separator/>
      </w:r>
    </w:p>
  </w:footnote>
  <w:footnote w:type="continuationSeparator" w:id="0">
    <w:p w:rsidR="009910F5" w:rsidRDefault="009910F5" w:rsidP="0043075E">
      <w:pPr>
        <w:spacing w:after="0" w:line="240" w:lineRule="auto"/>
      </w:pPr>
      <w:r>
        <w:continuationSeparator/>
      </w:r>
    </w:p>
  </w:footnote>
  <w:footnote w:id="1">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9910F5" w:rsidRDefault="009910F5"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9910F5" w:rsidRPr="00786442" w:rsidRDefault="009910F5"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9910F5" w:rsidRPr="00ED3AA4" w:rsidTr="006627B4">
      <w:tc>
        <w:tcPr>
          <w:tcW w:w="3240" w:type="dxa"/>
        </w:tcPr>
        <w:p w:rsidR="009910F5" w:rsidRPr="00ED3AA4" w:rsidRDefault="009910F5"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77270256" r:id="rId2"/>
            </w:object>
          </w:r>
        </w:p>
      </w:tc>
      <w:tc>
        <w:tcPr>
          <w:tcW w:w="9180" w:type="dxa"/>
          <w:vAlign w:val="center"/>
        </w:tcPr>
        <w:p w:rsidR="009910F5" w:rsidRPr="00ED3AA4" w:rsidRDefault="009910F5"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9910F5" w:rsidRDefault="009910F5" w:rsidP="006627B4">
          <w:pPr>
            <w:pStyle w:val="a4"/>
            <w:rPr>
              <w:rFonts w:ascii="Arial" w:hAnsi="Arial" w:cs="Arial"/>
            </w:rPr>
          </w:pPr>
          <w:r>
            <w:rPr>
              <w:rFonts w:ascii="Arial" w:hAnsi="Arial" w:cs="Arial"/>
            </w:rPr>
            <w:t>Версия 1</w:t>
          </w:r>
        </w:p>
        <w:p w:rsidR="009910F5" w:rsidRPr="00ED3AA4" w:rsidRDefault="009910F5" w:rsidP="006627B4">
          <w:pPr>
            <w:pStyle w:val="a4"/>
            <w:rPr>
              <w:rFonts w:ascii="Arial" w:hAnsi="Arial" w:cs="Arial"/>
            </w:rPr>
          </w:pPr>
        </w:p>
      </w:tc>
    </w:tr>
  </w:tbl>
  <w:p w:rsidR="009910F5" w:rsidRDefault="009910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4"/>
      <w:ind w:right="360" w:firstLine="360"/>
    </w:pPr>
  </w:p>
  <w:p w:rsidR="009910F5" w:rsidRDefault="009910F5"/>
  <w:p w:rsidR="009910F5" w:rsidRDefault="00991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49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D1121"/>
    <w:rsid w:val="004D2487"/>
    <w:rsid w:val="004F4023"/>
    <w:rsid w:val="00507042"/>
    <w:rsid w:val="005173DF"/>
    <w:rsid w:val="0051796A"/>
    <w:rsid w:val="00527D4A"/>
    <w:rsid w:val="00531BE5"/>
    <w:rsid w:val="00542F07"/>
    <w:rsid w:val="005453D9"/>
    <w:rsid w:val="005C16DC"/>
    <w:rsid w:val="005F4A50"/>
    <w:rsid w:val="005F4AA9"/>
    <w:rsid w:val="00606675"/>
    <w:rsid w:val="006146E4"/>
    <w:rsid w:val="0062297A"/>
    <w:rsid w:val="006471D5"/>
    <w:rsid w:val="006543A6"/>
    <w:rsid w:val="006627B4"/>
    <w:rsid w:val="00676D91"/>
    <w:rsid w:val="006A106E"/>
    <w:rsid w:val="006A7EBD"/>
    <w:rsid w:val="007314C9"/>
    <w:rsid w:val="007A3521"/>
    <w:rsid w:val="007A4D26"/>
    <w:rsid w:val="007F1F2A"/>
    <w:rsid w:val="0081282A"/>
    <w:rsid w:val="0082283B"/>
    <w:rsid w:val="008235E3"/>
    <w:rsid w:val="00826BD7"/>
    <w:rsid w:val="00847DFE"/>
    <w:rsid w:val="0089380B"/>
    <w:rsid w:val="008A1A68"/>
    <w:rsid w:val="008D128E"/>
    <w:rsid w:val="008D57B2"/>
    <w:rsid w:val="008E02C5"/>
    <w:rsid w:val="0090235C"/>
    <w:rsid w:val="00956A1F"/>
    <w:rsid w:val="009910F5"/>
    <w:rsid w:val="009A426B"/>
    <w:rsid w:val="009A52D7"/>
    <w:rsid w:val="009C4A37"/>
    <w:rsid w:val="009C7385"/>
    <w:rsid w:val="009F55A7"/>
    <w:rsid w:val="00A938F8"/>
    <w:rsid w:val="00AA0E5C"/>
    <w:rsid w:val="00AA4042"/>
    <w:rsid w:val="00AB2517"/>
    <w:rsid w:val="00AC1E6C"/>
    <w:rsid w:val="00AC4F1A"/>
    <w:rsid w:val="00AE5034"/>
    <w:rsid w:val="00B03C3D"/>
    <w:rsid w:val="00B0463A"/>
    <w:rsid w:val="00B15E9A"/>
    <w:rsid w:val="00B4188C"/>
    <w:rsid w:val="00B70CDB"/>
    <w:rsid w:val="00BC06FF"/>
    <w:rsid w:val="00BC386D"/>
    <w:rsid w:val="00C05A15"/>
    <w:rsid w:val="00C41C81"/>
    <w:rsid w:val="00C61760"/>
    <w:rsid w:val="00C716A0"/>
    <w:rsid w:val="00CB718E"/>
    <w:rsid w:val="00CF3616"/>
    <w:rsid w:val="00D036EE"/>
    <w:rsid w:val="00D41722"/>
    <w:rsid w:val="00D93420"/>
    <w:rsid w:val="00E47A0F"/>
    <w:rsid w:val="00E82ED8"/>
    <w:rsid w:val="00EB7C5A"/>
    <w:rsid w:val="00EC67F9"/>
    <w:rsid w:val="00EE3240"/>
    <w:rsid w:val="00EF2906"/>
    <w:rsid w:val="00F406E6"/>
    <w:rsid w:val="00F72D2F"/>
    <w:rsid w:val="00F75C84"/>
    <w:rsid w:val="00FA07D6"/>
    <w:rsid w:val="00FA2D56"/>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06579090">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nina_e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19</Pages>
  <Words>5614</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93</cp:revision>
  <cp:lastPrinted>2017-04-26T03:47:00Z</cp:lastPrinted>
  <dcterms:created xsi:type="dcterms:W3CDTF">2015-06-09T10:53:00Z</dcterms:created>
  <dcterms:modified xsi:type="dcterms:W3CDTF">2018-01-12T08:51:00Z</dcterms:modified>
</cp:coreProperties>
</file>