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16"/>
        <w:gridCol w:w="3194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№</w:t>
            </w:r>
            <w:r w:rsidR="00570FB7">
              <w:rPr>
                <w:sz w:val="24"/>
                <w:szCs w:val="24"/>
              </w:rPr>
              <w:t xml:space="preserve"> </w:t>
            </w:r>
            <w:r w:rsidR="005401D7">
              <w:rPr>
                <w:sz w:val="24"/>
                <w:szCs w:val="24"/>
                <w:u w:val="single"/>
              </w:rPr>
              <w:t>08/678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C30C1E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5401D7">
              <w:rPr>
                <w:sz w:val="24"/>
                <w:szCs w:val="24"/>
              </w:rPr>
              <w:t>23</w:t>
            </w:r>
            <w:r w:rsidRPr="00FF6F34">
              <w:rPr>
                <w:sz w:val="24"/>
                <w:szCs w:val="24"/>
              </w:rPr>
              <w:t xml:space="preserve">» </w:t>
            </w:r>
            <w:r w:rsidR="00C30C1E">
              <w:rPr>
                <w:sz w:val="24"/>
                <w:szCs w:val="24"/>
              </w:rPr>
              <w:t>ноября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0248D3">
              <w:rPr>
                <w:sz w:val="24"/>
                <w:szCs w:val="24"/>
              </w:rPr>
              <w:t>18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0248D3" w:rsidRPr="00962428">
        <w:t xml:space="preserve">Положение о порядке проведения регламентированных закупок товаров, работ, услуг для нужд </w:t>
      </w:r>
      <w:r w:rsidR="000248D3">
        <w:rPr>
          <w:snapToGrid w:val="0"/>
        </w:rPr>
        <w:t>АО «</w:t>
      </w:r>
      <w:proofErr w:type="spellStart"/>
      <w:r w:rsidR="000248D3">
        <w:rPr>
          <w:snapToGrid w:val="0"/>
        </w:rPr>
        <w:t>Интер</w:t>
      </w:r>
      <w:proofErr w:type="spellEnd"/>
      <w:r w:rsidR="000248D3">
        <w:rPr>
          <w:snapToGrid w:val="0"/>
        </w:rPr>
        <w:t xml:space="preserve"> РАО – </w:t>
      </w:r>
      <w:proofErr w:type="spellStart"/>
      <w:r w:rsidR="000248D3">
        <w:rPr>
          <w:snapToGrid w:val="0"/>
        </w:rPr>
        <w:t>Электрогенерация</w:t>
      </w:r>
      <w:proofErr w:type="spellEnd"/>
      <w:r w:rsidR="000248D3">
        <w:rPr>
          <w:snapToGrid w:val="0"/>
        </w:rPr>
        <w:t>»</w:t>
      </w:r>
      <w:r w:rsidR="000248D3" w:rsidRPr="00962428">
        <w:t>, утвержденное решением Совета директоров (далее - Положение о закупках)</w:t>
      </w:r>
      <w:r w:rsidR="00592D5A" w:rsidRPr="00FF6F34">
        <w:t>.</w:t>
      </w:r>
      <w:bookmarkEnd w:id="0"/>
      <w:bookmarkEnd w:id="1"/>
      <w:bookmarkEnd w:id="2"/>
    </w:p>
    <w:p w:rsidR="00881310" w:rsidRPr="005401D7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a9"/>
          <w:color w:val="auto"/>
          <w:u w:val="none"/>
        </w:rPr>
      </w:pPr>
      <w:r w:rsidRPr="00FF6F34">
        <w:rPr>
          <w:rStyle w:val="FontStyle128"/>
          <w:sz w:val="24"/>
          <w:szCs w:val="24"/>
        </w:rPr>
        <w:t xml:space="preserve">Информационное обеспечение проведения закупки: </w:t>
      </w:r>
      <w:r w:rsidR="000248D3" w:rsidRPr="009D1A73">
        <w:rPr>
          <w:rStyle w:val="FontStyle128"/>
          <w:sz w:val="24"/>
          <w:szCs w:val="24"/>
        </w:rPr>
        <w:t xml:space="preserve">Интернет-сайт: </w:t>
      </w:r>
      <w:hyperlink r:id="rId9" w:history="1">
        <w:r w:rsidR="000248D3" w:rsidRPr="00792C1E">
          <w:rPr>
            <w:rStyle w:val="a9"/>
            <w:snapToGrid w:val="0"/>
          </w:rPr>
          <w:t>www.zakupki.gov.ru</w:t>
        </w:r>
      </w:hyperlink>
      <w:r w:rsidR="005401D7">
        <w:rPr>
          <w:rStyle w:val="a9"/>
          <w:snapToGrid w:val="0"/>
        </w:rPr>
        <w:t xml:space="preserve"> </w:t>
      </w:r>
    </w:p>
    <w:p w:rsidR="005401D7" w:rsidRPr="005401D7" w:rsidRDefault="005401D7" w:rsidP="005401D7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color w:val="0000FF"/>
        </w:rPr>
      </w:pPr>
      <w:r w:rsidRPr="005401D7">
        <w:t xml:space="preserve">и на сайте организатора закупки </w:t>
      </w:r>
      <w:r w:rsidRPr="005401D7">
        <w:rPr>
          <w:color w:val="0000FF"/>
        </w:rPr>
        <w:t>www.</w:t>
      </w:r>
      <w:bookmarkStart w:id="3" w:name="_GoBack"/>
      <w:bookmarkEnd w:id="3"/>
      <w:r w:rsidR="00DE0059" w:rsidRPr="00DE0059">
        <w:rPr>
          <w:color w:val="0000FF"/>
        </w:rPr>
        <w:t>irao-generation.ru</w:t>
      </w:r>
      <w:r w:rsidRPr="005401D7">
        <w:rPr>
          <w:color w:val="0000FF"/>
        </w:rPr>
        <w:t>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5401D7">
        <w:rPr>
          <w:rStyle w:val="FontStyle128"/>
          <w:sz w:val="24"/>
          <w:szCs w:val="24"/>
        </w:rPr>
        <w:t>В</w:t>
      </w:r>
      <w:proofErr w:type="gramEnd"/>
      <w:r w:rsidR="005401D7">
        <w:rPr>
          <w:rStyle w:val="FontStyle128"/>
          <w:sz w:val="24"/>
          <w:szCs w:val="24"/>
        </w:rPr>
        <w:t xml:space="preserve"> </w:t>
      </w:r>
      <w:r w:rsidR="00F20B08" w:rsidRPr="00FF6F34">
        <w:rPr>
          <w:rStyle w:val="FontStyle128"/>
          <w:sz w:val="24"/>
          <w:szCs w:val="24"/>
        </w:rPr>
        <w:t>любое время до заключения договора</w:t>
      </w:r>
      <w:r w:rsidR="00F20B08" w:rsidRPr="00FF6F34">
        <w:t>.</w:t>
      </w:r>
    </w:p>
    <w:p w:rsidR="009541CC" w:rsidRPr="000248D3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0248D3">
        <w:t xml:space="preserve">Наименование </w:t>
      </w:r>
      <w:r w:rsidR="009541CC" w:rsidRPr="000248D3">
        <w:t>Заказчик</w:t>
      </w:r>
      <w:r w:rsidRPr="000248D3">
        <w:t>а</w:t>
      </w:r>
      <w:r w:rsidR="009541CC" w:rsidRPr="000248D3">
        <w:t>:</w:t>
      </w:r>
      <w:r w:rsidR="000248D3" w:rsidRPr="000248D3">
        <w:t xml:space="preserve"> Филиал «Гусиноозерская ГРЭС» АО «</w:t>
      </w:r>
      <w:proofErr w:type="spellStart"/>
      <w:r w:rsidR="000248D3" w:rsidRPr="000248D3">
        <w:t>Интер</w:t>
      </w:r>
      <w:proofErr w:type="spellEnd"/>
      <w:r w:rsidR="000248D3" w:rsidRPr="000248D3">
        <w:t xml:space="preserve"> РАО – </w:t>
      </w:r>
      <w:proofErr w:type="spellStart"/>
      <w:r w:rsidR="000248D3" w:rsidRPr="000248D3">
        <w:t>Электрогенерация</w:t>
      </w:r>
      <w:proofErr w:type="spellEnd"/>
      <w:r w:rsidR="000248D3" w:rsidRPr="000248D3">
        <w:t>»</w:t>
      </w:r>
    </w:p>
    <w:p w:rsidR="009541CC" w:rsidRPr="000248D3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0248D3">
        <w:rPr>
          <w:sz w:val="24"/>
        </w:rPr>
        <w:t xml:space="preserve">Место нахождения: </w:t>
      </w:r>
      <w:r w:rsidR="000248D3" w:rsidRPr="000248D3">
        <w:rPr>
          <w:sz w:val="24"/>
        </w:rPr>
        <w:t>671160, Россия, Р</w:t>
      </w:r>
      <w:r w:rsidR="000248D3">
        <w:rPr>
          <w:sz w:val="24"/>
        </w:rPr>
        <w:t xml:space="preserve">еспублика </w:t>
      </w:r>
      <w:r w:rsidR="000248D3" w:rsidRPr="000248D3">
        <w:rPr>
          <w:sz w:val="24"/>
        </w:rPr>
        <w:t>Б</w:t>
      </w:r>
      <w:r w:rsidR="000248D3">
        <w:rPr>
          <w:sz w:val="24"/>
        </w:rPr>
        <w:t>урятия</w:t>
      </w:r>
      <w:r w:rsidR="000248D3" w:rsidRPr="000248D3">
        <w:rPr>
          <w:sz w:val="24"/>
        </w:rPr>
        <w:t>, г. Гусиноозерск</w:t>
      </w:r>
    </w:p>
    <w:p w:rsidR="000248D3" w:rsidRPr="000248D3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0248D3">
        <w:rPr>
          <w:sz w:val="24"/>
        </w:rPr>
        <w:t xml:space="preserve">Почтовый адрес: </w:t>
      </w:r>
      <w:r w:rsidR="000248D3" w:rsidRPr="000248D3">
        <w:rPr>
          <w:sz w:val="24"/>
        </w:rPr>
        <w:t>671160</w:t>
      </w:r>
    </w:p>
    <w:p w:rsidR="000248D3" w:rsidRPr="000248D3" w:rsidRDefault="00106E7B" w:rsidP="000248D3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0248D3">
        <w:rPr>
          <w:sz w:val="24"/>
        </w:rPr>
        <w:t xml:space="preserve">Контактный телефон: </w:t>
      </w:r>
      <w:r w:rsidR="000248D3" w:rsidRPr="000248D3">
        <w:rPr>
          <w:sz w:val="24"/>
        </w:rPr>
        <w:t xml:space="preserve">+7 </w:t>
      </w:r>
      <w:r w:rsidR="005401D7">
        <w:rPr>
          <w:sz w:val="24"/>
        </w:rPr>
        <w:t>(30145) 95-577</w:t>
      </w:r>
    </w:p>
    <w:p w:rsidR="00E145BC" w:rsidRPr="00FF6F34" w:rsidRDefault="009541CC" w:rsidP="000248D3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hyperlink r:id="rId10" w:history="1">
        <w:r w:rsidR="005401D7" w:rsidRPr="00CD5B7B">
          <w:rPr>
            <w:rStyle w:val="a9"/>
            <w:sz w:val="24"/>
            <w:lang w:val="en-US"/>
          </w:rPr>
          <w:t>amosova</w:t>
        </w:r>
        <w:r w:rsidR="005401D7" w:rsidRPr="00CD5B7B">
          <w:rPr>
            <w:rStyle w:val="a9"/>
            <w:sz w:val="24"/>
          </w:rPr>
          <w:t>_</w:t>
        </w:r>
        <w:r w:rsidR="005401D7" w:rsidRPr="00CD5B7B">
          <w:rPr>
            <w:rStyle w:val="a9"/>
            <w:sz w:val="24"/>
            <w:lang w:val="en-US"/>
          </w:rPr>
          <w:t>eb</w:t>
        </w:r>
        <w:r w:rsidR="005401D7" w:rsidRPr="00CD5B7B">
          <w:rPr>
            <w:rStyle w:val="a9"/>
            <w:sz w:val="24"/>
          </w:rPr>
          <w:t>@interrao.ru</w:t>
        </w:r>
      </w:hyperlink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  <w:r w:rsidR="000248D3">
        <w:t xml:space="preserve"> </w:t>
      </w:r>
      <w:r w:rsidR="000248D3" w:rsidRPr="000248D3">
        <w:t>Филиал «Гусиноозерская ГРЭС» АО «</w:t>
      </w:r>
      <w:proofErr w:type="spellStart"/>
      <w:r w:rsidR="000248D3" w:rsidRPr="000248D3">
        <w:t>Интер</w:t>
      </w:r>
      <w:proofErr w:type="spellEnd"/>
      <w:r w:rsidR="000248D3" w:rsidRPr="000248D3">
        <w:t xml:space="preserve"> РАО – </w:t>
      </w:r>
      <w:proofErr w:type="spellStart"/>
      <w:r w:rsidR="000248D3" w:rsidRPr="000248D3">
        <w:t>Электрогенерация</w:t>
      </w:r>
      <w:proofErr w:type="spellEnd"/>
      <w:r w:rsidR="000248D3" w:rsidRPr="000248D3">
        <w:t>»</w:t>
      </w:r>
    </w:p>
    <w:p w:rsidR="00F434BD" w:rsidRPr="00FF6F34" w:rsidRDefault="00F434BD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0248D3" w:rsidRPr="000248D3">
        <w:rPr>
          <w:sz w:val="24"/>
        </w:rPr>
        <w:t>671160, Россия, Р</w:t>
      </w:r>
      <w:r w:rsidR="000248D3">
        <w:rPr>
          <w:sz w:val="24"/>
        </w:rPr>
        <w:t xml:space="preserve">еспублика </w:t>
      </w:r>
      <w:r w:rsidR="000248D3" w:rsidRPr="000248D3">
        <w:rPr>
          <w:sz w:val="24"/>
        </w:rPr>
        <w:t>Б</w:t>
      </w:r>
      <w:r w:rsidR="000248D3">
        <w:rPr>
          <w:sz w:val="24"/>
        </w:rPr>
        <w:t>урятия</w:t>
      </w:r>
      <w:r w:rsidR="000248D3" w:rsidRPr="000248D3">
        <w:rPr>
          <w:sz w:val="24"/>
        </w:rPr>
        <w:t>, г. Гусиноозерск</w:t>
      </w:r>
    </w:p>
    <w:p w:rsidR="00F434BD" w:rsidRPr="00FF6F34" w:rsidRDefault="00F434BD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0248D3" w:rsidRPr="000248D3">
        <w:rPr>
          <w:sz w:val="24"/>
        </w:rPr>
        <w:t>671160</w:t>
      </w:r>
    </w:p>
    <w:p w:rsidR="00F434BD" w:rsidRPr="00FF6F34" w:rsidRDefault="00F434BD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Контактный телефон: </w:t>
      </w:r>
      <w:r w:rsidR="005401D7">
        <w:rPr>
          <w:sz w:val="24"/>
        </w:rPr>
        <w:t>+7 (30145) 95-577</w:t>
      </w:r>
    </w:p>
    <w:p w:rsidR="00F434BD" w:rsidRPr="00FF6F34" w:rsidRDefault="00F434BD" w:rsidP="007D62F0">
      <w:pPr>
        <w:pStyle w:val="af9"/>
        <w:tabs>
          <w:tab w:val="left" w:pos="426"/>
          <w:tab w:val="left" w:pos="1134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hyperlink r:id="rId11" w:history="1">
        <w:r w:rsidR="005401D7" w:rsidRPr="00CD5B7B">
          <w:rPr>
            <w:rStyle w:val="a9"/>
            <w:sz w:val="24"/>
            <w:lang w:val="en-US"/>
          </w:rPr>
          <w:t>amosova</w:t>
        </w:r>
        <w:r w:rsidR="005401D7" w:rsidRPr="00CD5B7B">
          <w:rPr>
            <w:rStyle w:val="a9"/>
            <w:sz w:val="24"/>
          </w:rPr>
          <w:t>_</w:t>
        </w:r>
        <w:r w:rsidR="005401D7" w:rsidRPr="00CD5B7B">
          <w:rPr>
            <w:rStyle w:val="a9"/>
            <w:sz w:val="24"/>
            <w:lang w:val="en-US"/>
          </w:rPr>
          <w:t>eb</w:t>
        </w:r>
        <w:r w:rsidR="005401D7" w:rsidRPr="00CD5B7B">
          <w:rPr>
            <w:rStyle w:val="a9"/>
            <w:sz w:val="24"/>
          </w:rPr>
          <w:t>@interrao.ru</w:t>
        </w:r>
      </w:hyperlink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5401D7" w:rsidRDefault="00B54AEB" w:rsidP="005401D7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Pr="00C30C1E">
        <w:t>договора:</w:t>
      </w:r>
      <w:r w:rsidR="00B47754" w:rsidRPr="00C30C1E">
        <w:t xml:space="preserve"> </w:t>
      </w:r>
      <w:r w:rsidR="005401D7" w:rsidRPr="005401D7">
        <w:t xml:space="preserve">"Приобретение каминных уплотнений ЦСД, ЦНД с условием о </w:t>
      </w:r>
      <w:proofErr w:type="gramStart"/>
      <w:r w:rsidR="005401D7" w:rsidRPr="005401D7">
        <w:t>шеф-монтаже</w:t>
      </w:r>
      <w:proofErr w:type="gramEnd"/>
      <w:r w:rsidR="005401D7" w:rsidRPr="005401D7">
        <w:t xml:space="preserve">" для </w:t>
      </w:r>
      <w:proofErr w:type="spellStart"/>
      <w:r w:rsidR="005401D7" w:rsidRPr="005401D7">
        <w:t>Гусиноозерской</w:t>
      </w:r>
      <w:proofErr w:type="spellEnd"/>
      <w:r w:rsidR="005401D7" w:rsidRPr="005401D7">
        <w:t xml:space="preserve"> ГРЭС.</w:t>
      </w:r>
    </w:p>
    <w:p w:rsidR="00CA310F" w:rsidRPr="00FF6F34" w:rsidRDefault="00A033BC" w:rsidP="005401D7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 xml:space="preserve">поставляемых </w:t>
      </w:r>
      <w:r w:rsidR="00C30C1E">
        <w:t>товаров</w:t>
      </w:r>
      <w:r w:rsidR="003842A8" w:rsidRPr="00FF6F34">
        <w:t>:</w:t>
      </w:r>
      <w:r w:rsidR="00B47754" w:rsidRPr="00FF6F34">
        <w:t xml:space="preserve"> </w:t>
      </w:r>
      <w:r w:rsidR="005401D7" w:rsidRPr="005401D7">
        <w:t>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Сроки </w:t>
      </w:r>
      <w:r w:rsidR="00C30C1E">
        <w:rPr>
          <w:rStyle w:val="FontStyle128"/>
          <w:sz w:val="24"/>
          <w:szCs w:val="24"/>
        </w:rPr>
        <w:t>поставки</w:t>
      </w:r>
      <w:r w:rsidR="005401D7">
        <w:rPr>
          <w:rStyle w:val="FontStyle128"/>
          <w:sz w:val="24"/>
          <w:szCs w:val="24"/>
        </w:rPr>
        <w:t xml:space="preserve">: </w:t>
      </w:r>
      <w:r w:rsidR="005401D7" w:rsidRPr="00FF6F34"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5401D7">
        <w:rPr>
          <w:rStyle w:val="FontStyle128"/>
          <w:sz w:val="24"/>
          <w:szCs w:val="24"/>
        </w:rPr>
        <w:t xml:space="preserve"> </w:t>
      </w:r>
      <w:r w:rsidR="005401D7" w:rsidRPr="00FF6F34">
        <w:t>в соответствии с проектом договора.</w:t>
      </w:r>
    </w:p>
    <w:p w:rsidR="00881310" w:rsidRPr="00FF6F34" w:rsidRDefault="00881310" w:rsidP="00C30C1E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Сведения о начальной (максимальной) цене </w:t>
      </w:r>
      <w:proofErr w:type="gramStart"/>
      <w:r w:rsidRPr="00FF6F34">
        <w:rPr>
          <w:rStyle w:val="FontStyle128"/>
          <w:sz w:val="24"/>
          <w:szCs w:val="24"/>
        </w:rPr>
        <w:t xml:space="preserve">договора: </w:t>
      </w:r>
      <w:r w:rsidRPr="00FF6F34">
        <w:t xml:space="preserve"> </w:t>
      </w:r>
      <w:r w:rsidR="005401D7">
        <w:rPr>
          <w:b/>
        </w:rPr>
        <w:t>4</w:t>
      </w:r>
      <w:proofErr w:type="gramEnd"/>
      <w:r w:rsidR="005401D7">
        <w:rPr>
          <w:b/>
        </w:rPr>
        <w:t> 850 300,00</w:t>
      </w:r>
      <w:r w:rsidR="00C30C1E">
        <w:rPr>
          <w:b/>
        </w:rPr>
        <w:t xml:space="preserve"> </w:t>
      </w:r>
      <w:r w:rsidR="005F1FB8"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="005401D7" w:rsidRPr="005401D7">
        <w:t xml:space="preserve"> </w:t>
      </w:r>
      <w:r w:rsidR="005401D7" w:rsidRPr="00FF6F34">
        <w:t>в соответствии с проектом договора.</w:t>
      </w:r>
      <w:r w:rsidRPr="00FF6F34">
        <w:rPr>
          <w:i/>
          <w:color w:val="548DD4"/>
        </w:rPr>
        <w:t xml:space="preserve"> 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 xml:space="preserve">. гарантийного </w:t>
      </w:r>
      <w:r w:rsidRPr="00FF6F34">
        <w:lastRenderedPageBreak/>
        <w:t>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570FB7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оказываемым </w:t>
      </w:r>
      <w:r w:rsidRPr="00570FB7">
        <w:rPr>
          <w:rStyle w:val="FontStyle128"/>
          <w:sz w:val="24"/>
          <w:szCs w:val="24"/>
        </w:rPr>
        <w:t xml:space="preserve">услугам: </w:t>
      </w:r>
      <w:r w:rsidR="005C5706" w:rsidRPr="00570FB7">
        <w:rPr>
          <w:rStyle w:val="FontStyle128"/>
          <w:sz w:val="24"/>
          <w:szCs w:val="24"/>
        </w:rPr>
        <w:t>в соответствии с проектом договора</w:t>
      </w:r>
      <w:r w:rsidR="00592D5A" w:rsidRPr="00570FB7">
        <w:rPr>
          <w:rStyle w:val="FontStyle128"/>
          <w:sz w:val="24"/>
          <w:szCs w:val="24"/>
        </w:rPr>
        <w:t>.</w:t>
      </w:r>
    </w:p>
    <w:p w:rsidR="00841999" w:rsidRPr="00570FB7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570FB7"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570FB7">
        <w:rPr>
          <w:rStyle w:val="FontStyle128"/>
          <w:sz w:val="24"/>
          <w:szCs w:val="24"/>
        </w:rPr>
        <w:t>:</w:t>
      </w:r>
      <w:r w:rsidRPr="00570FB7">
        <w:rPr>
          <w:rStyle w:val="FontStyle128"/>
          <w:sz w:val="24"/>
          <w:szCs w:val="24"/>
        </w:rPr>
        <w:t xml:space="preserve"> </w:t>
      </w:r>
      <w:r w:rsidR="00F434BD" w:rsidRPr="00570FB7">
        <w:rPr>
          <w:rStyle w:val="FontStyle128"/>
          <w:sz w:val="24"/>
          <w:szCs w:val="24"/>
        </w:rPr>
        <w:t>н</w:t>
      </w:r>
      <w:r w:rsidRPr="00570FB7">
        <w:rPr>
          <w:rStyle w:val="FontStyle128"/>
          <w:sz w:val="24"/>
          <w:szCs w:val="24"/>
        </w:rPr>
        <w:t>е</w:t>
      </w:r>
      <w:r w:rsidR="00F434BD" w:rsidRPr="00570FB7">
        <w:rPr>
          <w:rStyle w:val="FontStyle128"/>
          <w:sz w:val="24"/>
          <w:szCs w:val="24"/>
        </w:rPr>
        <w:t xml:space="preserve"> применяется</w:t>
      </w:r>
    </w:p>
    <w:p w:rsidR="003414B0" w:rsidRPr="00570FB7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570FB7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570FB7">
        <w:rPr>
          <w:rStyle w:val="FontStyle128"/>
          <w:sz w:val="24"/>
          <w:szCs w:val="24"/>
        </w:rPr>
        <w:t>не применяется</w:t>
      </w:r>
    </w:p>
    <w:p w:rsidR="004F07B3" w:rsidRPr="00570FB7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570FB7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570FB7">
        <w:rPr>
          <w:rStyle w:val="FontStyle128"/>
          <w:sz w:val="24"/>
          <w:szCs w:val="24"/>
        </w:rPr>
        <w:t>Извещения</w:t>
      </w:r>
      <w:r w:rsidRPr="00570FB7">
        <w:rPr>
          <w:rStyle w:val="FontStyle128"/>
          <w:sz w:val="24"/>
          <w:szCs w:val="24"/>
        </w:rPr>
        <w:t>:</w:t>
      </w:r>
    </w:p>
    <w:p w:rsidR="00A033BC" w:rsidRPr="00570FB7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570FB7">
        <w:rPr>
          <w:sz w:val="24"/>
        </w:rPr>
        <w:t>Извещение</w:t>
      </w:r>
      <w:r w:rsidR="00A033BC" w:rsidRPr="00570FB7">
        <w:rPr>
          <w:sz w:val="24"/>
        </w:rPr>
        <w:t xml:space="preserve"> находится в открытом доступе на сайте</w:t>
      </w:r>
      <w:r w:rsidR="006A3C57" w:rsidRPr="00570FB7">
        <w:rPr>
          <w:sz w:val="24"/>
        </w:rPr>
        <w:t>, указанном в п. 3 Извещения</w:t>
      </w:r>
      <w:r w:rsidR="00A033BC" w:rsidRPr="00570FB7">
        <w:rPr>
          <w:sz w:val="24"/>
        </w:rPr>
        <w:t>, начиная с даты размещения</w:t>
      </w:r>
      <w:r w:rsidR="004F07B3" w:rsidRPr="00570FB7">
        <w:rPr>
          <w:sz w:val="24"/>
        </w:rPr>
        <w:t>.</w:t>
      </w:r>
    </w:p>
    <w:p w:rsidR="005C1C51" w:rsidRPr="00570FB7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570FB7">
        <w:rPr>
          <w:sz w:val="24"/>
        </w:rPr>
        <w:t xml:space="preserve">Плата за предоставление </w:t>
      </w:r>
      <w:r w:rsidR="00153010" w:rsidRPr="00570FB7">
        <w:rPr>
          <w:sz w:val="24"/>
        </w:rPr>
        <w:t>Извещения</w:t>
      </w:r>
      <w:r w:rsidRPr="00570FB7">
        <w:rPr>
          <w:sz w:val="24"/>
        </w:rPr>
        <w:t xml:space="preserve"> не взимается.</w:t>
      </w:r>
    </w:p>
    <w:p w:rsidR="00F77DA9" w:rsidRPr="00570FB7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t>Форма, порядок, д</w:t>
      </w:r>
      <w:r w:rsidR="00F77DA9" w:rsidRPr="00570FB7">
        <w:t xml:space="preserve">ата начала </w:t>
      </w:r>
      <w:r w:rsidRPr="00570FB7">
        <w:t xml:space="preserve">и дата окончания </w:t>
      </w:r>
      <w:r w:rsidR="00F77DA9" w:rsidRPr="00570FB7">
        <w:t xml:space="preserve">предоставления разъяснений: </w:t>
      </w:r>
      <w:r w:rsidR="00F434BD" w:rsidRPr="00570FB7">
        <w:t>не применяется</w:t>
      </w:r>
    </w:p>
    <w:p w:rsidR="00334C51" w:rsidRPr="00570FB7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t xml:space="preserve">Место подачи, дата начала и дата окончания </w:t>
      </w:r>
      <w:r w:rsidR="00E23222" w:rsidRPr="00570FB7">
        <w:t xml:space="preserve">подачи заявок на участие в </w:t>
      </w:r>
      <w:r w:rsidR="00E03ECB" w:rsidRPr="00570FB7">
        <w:t>закупке</w:t>
      </w:r>
      <w:r w:rsidR="00E23222" w:rsidRPr="00570FB7">
        <w:t xml:space="preserve">: </w:t>
      </w:r>
      <w:r w:rsidR="00F434BD" w:rsidRPr="00570FB7">
        <w:t>не применяется</w:t>
      </w:r>
    </w:p>
    <w:p w:rsidR="00CA1A0F" w:rsidRPr="00570FB7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t>Дата</w:t>
      </w:r>
      <w:r w:rsidR="004F6184" w:rsidRPr="00570FB7">
        <w:t xml:space="preserve"> и </w:t>
      </w:r>
      <w:r w:rsidRPr="00570FB7">
        <w:t>место</w:t>
      </w:r>
      <w:r w:rsidR="004F6184" w:rsidRPr="00570FB7">
        <w:t xml:space="preserve"> </w:t>
      </w:r>
      <w:r w:rsidR="005E08BF" w:rsidRPr="00570FB7">
        <w:t>вскрытия заявок</w:t>
      </w:r>
      <w:r w:rsidR="004F6184" w:rsidRPr="00570FB7">
        <w:t xml:space="preserve"> на участие в </w:t>
      </w:r>
      <w:r w:rsidR="00E03ECB" w:rsidRPr="00570FB7">
        <w:t>закупке</w:t>
      </w:r>
      <w:r w:rsidR="004F6184" w:rsidRPr="00570FB7">
        <w:t xml:space="preserve">: </w:t>
      </w:r>
      <w:r w:rsidR="00F434BD" w:rsidRPr="00570FB7">
        <w:t>не применяется</w:t>
      </w:r>
    </w:p>
    <w:p w:rsidR="007B5F8B" w:rsidRPr="00570FB7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t>Дата и место</w:t>
      </w:r>
      <w:r w:rsidR="00791326" w:rsidRPr="00570FB7">
        <w:t xml:space="preserve"> </w:t>
      </w:r>
      <w:r w:rsidR="00717500" w:rsidRPr="00570FB7">
        <w:t xml:space="preserve">рассмотрения заявок и </w:t>
      </w:r>
      <w:r w:rsidR="00791326" w:rsidRPr="00570FB7">
        <w:t>п</w:t>
      </w:r>
      <w:r w:rsidR="007B5F8B" w:rsidRPr="00570FB7">
        <w:t>одведени</w:t>
      </w:r>
      <w:r w:rsidR="00791326" w:rsidRPr="00570FB7">
        <w:t>я</w:t>
      </w:r>
      <w:r w:rsidR="007B5F8B" w:rsidRPr="00570FB7">
        <w:t xml:space="preserve"> итогов </w:t>
      </w:r>
      <w:r w:rsidR="00E03ECB" w:rsidRPr="00570FB7">
        <w:t>закупки</w:t>
      </w:r>
      <w:r w:rsidR="00791326" w:rsidRPr="00570FB7">
        <w:t>:</w:t>
      </w:r>
      <w:r w:rsidR="007B5F8B" w:rsidRPr="00570FB7">
        <w:t xml:space="preserve"> </w:t>
      </w:r>
      <w:r w:rsidR="00F434BD" w:rsidRPr="00570FB7">
        <w:t>не применяется</w:t>
      </w:r>
      <w:r w:rsidR="00F70945" w:rsidRPr="00570FB7">
        <w:t>.</w:t>
      </w:r>
    </w:p>
    <w:p w:rsidR="00830285" w:rsidRPr="00570FB7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570FB7">
        <w:t xml:space="preserve"> не применяется</w:t>
      </w:r>
      <w:r w:rsidR="00841999" w:rsidRPr="00570FB7">
        <w:rPr>
          <w:i/>
          <w:color w:val="548DD4"/>
        </w:rPr>
        <w:t>.</w:t>
      </w:r>
    </w:p>
    <w:p w:rsidR="00830285" w:rsidRPr="00570FB7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570FB7">
        <w:t>не применяется</w:t>
      </w:r>
      <w:r w:rsidR="00841999" w:rsidRPr="00570FB7">
        <w:rPr>
          <w:i/>
          <w:color w:val="548DD4"/>
        </w:rPr>
        <w:t>.</w:t>
      </w:r>
    </w:p>
    <w:p w:rsidR="00830285" w:rsidRPr="00570FB7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570FB7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570FB7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570FB7">
        <w:t>не применяется</w:t>
      </w:r>
      <w:r w:rsidRPr="00570FB7">
        <w:rPr>
          <w:snapToGrid w:val="0"/>
          <w:color w:val="548DD4"/>
        </w:rPr>
        <w:t>.</w:t>
      </w:r>
      <w:r w:rsidR="00CA772B" w:rsidRPr="00570FB7">
        <w:rPr>
          <w:snapToGrid w:val="0"/>
          <w:color w:val="548DD4"/>
        </w:rPr>
        <w:t xml:space="preserve"> </w:t>
      </w:r>
    </w:p>
    <w:p w:rsidR="00830285" w:rsidRPr="00570FB7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t>Обеспечение исполнения договора и/или возврата аванса и/или гарантийных обязательств:</w:t>
      </w:r>
      <w:r w:rsidR="00610E1F" w:rsidRPr="00570FB7">
        <w:t xml:space="preserve"> не установлено </w:t>
      </w:r>
    </w:p>
    <w:p w:rsidR="00830285" w:rsidRPr="00570FB7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rPr>
          <w:rStyle w:val="FontStyle128"/>
          <w:sz w:val="24"/>
          <w:szCs w:val="24"/>
        </w:rPr>
        <w:t xml:space="preserve">Валюта закупки: </w:t>
      </w:r>
      <w:r w:rsidR="00610E1F" w:rsidRPr="00570FB7">
        <w:t>российский рубль.</w:t>
      </w:r>
    </w:p>
    <w:p w:rsidR="00167138" w:rsidRPr="00570FB7" w:rsidRDefault="008D70EF" w:rsidP="00A0051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i/>
          <w:color w:val="548DD4"/>
        </w:rPr>
      </w:pPr>
      <w:r w:rsidRPr="00570FB7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610E1F" w:rsidRPr="00570FB7">
        <w:rPr>
          <w:i/>
        </w:rPr>
        <w:t>не допускается</w:t>
      </w:r>
    </w:p>
    <w:p w:rsidR="00521FD2" w:rsidRPr="00570FB7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0000"/>
        </w:rPr>
      </w:pPr>
      <w:r w:rsidRPr="00570FB7">
        <w:rPr>
          <w:rStyle w:val="FontStyle128"/>
          <w:sz w:val="24"/>
          <w:szCs w:val="24"/>
        </w:rPr>
        <w:t>Возможность привлечения субподрядчика/</w:t>
      </w:r>
      <w:r w:rsidRPr="00570FB7">
        <w:rPr>
          <w:rStyle w:val="FontStyle128"/>
          <w:color w:val="auto"/>
          <w:sz w:val="24"/>
          <w:szCs w:val="24"/>
        </w:rPr>
        <w:t>соисполнителя</w:t>
      </w:r>
      <w:r w:rsidR="00D02AD5" w:rsidRPr="00570FB7">
        <w:rPr>
          <w:rStyle w:val="FontStyle128"/>
          <w:color w:val="auto"/>
          <w:sz w:val="24"/>
          <w:szCs w:val="24"/>
        </w:rPr>
        <w:t xml:space="preserve">: </w:t>
      </w:r>
      <w:r w:rsidR="00D02AD5" w:rsidRPr="00570FB7">
        <w:rPr>
          <w:i/>
        </w:rPr>
        <w:t>не допускается</w:t>
      </w:r>
    </w:p>
    <w:p w:rsidR="00D02AD5" w:rsidRPr="00570FB7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570FB7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570FB7">
        <w:t>не применяется</w:t>
      </w:r>
    </w:p>
    <w:p w:rsidR="006D5526" w:rsidRPr="00570FB7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570FB7">
        <w:t xml:space="preserve">Иные </w:t>
      </w:r>
      <w:r w:rsidR="00DE65E8" w:rsidRPr="00570FB7">
        <w:t xml:space="preserve">условия </w:t>
      </w:r>
      <w:r w:rsidR="00E03ECB" w:rsidRPr="00570FB7">
        <w:t>закупки</w:t>
      </w:r>
      <w:r w:rsidR="00B12BA7" w:rsidRPr="00570FB7">
        <w:t xml:space="preserve"> </w:t>
      </w:r>
      <w:r w:rsidR="00DE65E8" w:rsidRPr="00570FB7">
        <w:t xml:space="preserve">содержатся в </w:t>
      </w:r>
      <w:r w:rsidRPr="00570FB7">
        <w:t>проекте договора</w:t>
      </w:r>
      <w:r w:rsidR="006D5526" w:rsidRPr="00570FB7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2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79" w:rsidRDefault="007B2479">
      <w:r>
        <w:separator/>
      </w:r>
    </w:p>
  </w:endnote>
  <w:endnote w:type="continuationSeparator" w:id="0">
    <w:p w:rsidR="007B2479" w:rsidRDefault="007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79" w:rsidRDefault="007B2479">
      <w:r>
        <w:separator/>
      </w:r>
    </w:p>
  </w:footnote>
  <w:footnote w:type="continuationSeparator" w:id="0">
    <w:p w:rsidR="007B2479" w:rsidRDefault="007B2479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0248D3" w:rsidTr="00F274DC">
      <w:trPr>
        <w:trHeight w:val="991"/>
      </w:trPr>
      <w:tc>
        <w:tcPr>
          <w:tcW w:w="11907" w:type="dxa"/>
          <w:shd w:val="clear" w:color="auto" w:fill="auto"/>
        </w:tcPr>
        <w:p w:rsidR="000248D3" w:rsidRPr="00F90252" w:rsidRDefault="000248D3" w:rsidP="000248D3">
          <w:pPr>
            <w:tabs>
              <w:tab w:val="right" w:pos="9355"/>
            </w:tabs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C985C5" wp14:editId="621DA03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48D3" w:rsidRDefault="000248D3" w:rsidP="000248D3">
          <w:pPr>
            <w:tabs>
              <w:tab w:val="left" w:pos="907"/>
            </w:tabs>
            <w:jc w:val="center"/>
            <w:rPr>
              <w:noProof/>
            </w:rPr>
          </w:pPr>
          <w:r>
            <w:tab/>
          </w:r>
          <w:r>
            <w:tab/>
          </w:r>
        </w:p>
      </w:tc>
    </w:tr>
    <w:tr w:rsidR="000248D3" w:rsidRPr="00EC063E" w:rsidTr="00DE4064">
      <w:trPr>
        <w:trHeight w:val="707"/>
      </w:trPr>
      <w:tc>
        <w:tcPr>
          <w:tcW w:w="11907" w:type="dxa"/>
          <w:shd w:val="clear" w:color="auto" w:fill="auto"/>
        </w:tcPr>
        <w:p w:rsidR="000248D3" w:rsidRDefault="000248D3" w:rsidP="000248D3">
          <w:pPr>
            <w:spacing w:line="240" w:lineRule="auto"/>
            <w:ind w:firstLine="2625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</w:t>
          </w:r>
        </w:p>
        <w:p w:rsidR="000248D3" w:rsidRPr="00F90252" w:rsidRDefault="000248D3" w:rsidP="000248D3">
          <w:pPr>
            <w:spacing w:line="240" w:lineRule="auto"/>
            <w:ind w:firstLine="2625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0248D3" w:rsidRPr="00F90252" w:rsidRDefault="000248D3" w:rsidP="000248D3">
          <w:pPr>
            <w:spacing w:line="240" w:lineRule="auto"/>
            <w:ind w:firstLine="2625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0248D3" w:rsidRPr="00F90252" w:rsidRDefault="000248D3" w:rsidP="000248D3">
          <w:pPr>
            <w:spacing w:line="240" w:lineRule="auto"/>
            <w:ind w:firstLine="2625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0248D3" w:rsidRPr="004D3329" w:rsidRDefault="000248D3" w:rsidP="000248D3">
          <w:pPr>
            <w:spacing w:line="240" w:lineRule="auto"/>
            <w:ind w:left="1168" w:right="1167" w:firstLine="2625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F90252">
            <w:t xml:space="preserve">               </w:t>
          </w:r>
          <w:hyperlink r:id="rId2" w:history="1">
            <w:r w:rsidRPr="00CC6750">
              <w:rPr>
                <w:rStyle w:val="a9"/>
                <w:rFonts w:ascii="HeliosC" w:hAnsi="HeliosC" w:cs="Arial"/>
                <w:w w:val="110"/>
                <w:sz w:val="16"/>
                <w:szCs w:val="16"/>
              </w:rPr>
              <w:t>http://irao-generation.</w:t>
            </w:r>
            <w:proofErr w:type="spellStart"/>
            <w:r w:rsidRPr="00CC6750">
              <w:rPr>
                <w:rStyle w:val="a9"/>
                <w:rFonts w:ascii="HeliosC" w:hAnsi="HeliosC" w:cs="Arial"/>
                <w:w w:val="110"/>
                <w:sz w:val="16"/>
                <w:szCs w:val="16"/>
                <w:lang w:val="en-US"/>
              </w:rPr>
              <w:t>ru</w:t>
            </w:r>
            <w:proofErr w:type="spellEnd"/>
          </w:hyperlink>
        </w:p>
      </w:tc>
    </w:tr>
  </w:tbl>
  <w:p w:rsidR="004B58FB" w:rsidRPr="00934586" w:rsidRDefault="004B58FB" w:rsidP="009345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8D3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A3D9D"/>
    <w:rsid w:val="000B476E"/>
    <w:rsid w:val="000B5F06"/>
    <w:rsid w:val="000D3798"/>
    <w:rsid w:val="000D3D75"/>
    <w:rsid w:val="000D54EE"/>
    <w:rsid w:val="000E215C"/>
    <w:rsid w:val="000E5335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63C7B"/>
    <w:rsid w:val="0027502F"/>
    <w:rsid w:val="00282789"/>
    <w:rsid w:val="00287C63"/>
    <w:rsid w:val="002A2C1E"/>
    <w:rsid w:val="002D5E6F"/>
    <w:rsid w:val="002D703A"/>
    <w:rsid w:val="00334C51"/>
    <w:rsid w:val="003406DF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4AEB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1D7"/>
    <w:rsid w:val="0054090F"/>
    <w:rsid w:val="00555989"/>
    <w:rsid w:val="00556C61"/>
    <w:rsid w:val="005642F0"/>
    <w:rsid w:val="00570FB7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39DA"/>
    <w:rsid w:val="005C5706"/>
    <w:rsid w:val="005D3EE3"/>
    <w:rsid w:val="005D6732"/>
    <w:rsid w:val="005E08BF"/>
    <w:rsid w:val="005E0CFF"/>
    <w:rsid w:val="005E5772"/>
    <w:rsid w:val="005E57BD"/>
    <w:rsid w:val="005F1FB8"/>
    <w:rsid w:val="005F73B6"/>
    <w:rsid w:val="00610E1F"/>
    <w:rsid w:val="00623392"/>
    <w:rsid w:val="006404D6"/>
    <w:rsid w:val="0064105C"/>
    <w:rsid w:val="00654AAB"/>
    <w:rsid w:val="00661759"/>
    <w:rsid w:val="006636D7"/>
    <w:rsid w:val="006755E5"/>
    <w:rsid w:val="0068055A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6FA"/>
    <w:rsid w:val="007B2479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0C1E"/>
    <w:rsid w:val="00C34698"/>
    <w:rsid w:val="00C43680"/>
    <w:rsid w:val="00C472E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0059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3842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9E391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Заголовок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amosova_eb@interra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osova_eb@interrao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903F-492D-433C-8955-6E33767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Амосова Елена Борисовна</cp:lastModifiedBy>
  <cp:revision>8</cp:revision>
  <cp:lastPrinted>2012-02-06T04:25:00Z</cp:lastPrinted>
  <dcterms:created xsi:type="dcterms:W3CDTF">2018-09-19T00:34:00Z</dcterms:created>
  <dcterms:modified xsi:type="dcterms:W3CDTF">2018-11-23T06:37:00Z</dcterms:modified>
</cp:coreProperties>
</file>