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A376AB" w:rsidRPr="002862C4" w:rsidTr="000A0CD5">
        <w:trPr>
          <w:trHeight w:val="991"/>
        </w:trPr>
        <w:tc>
          <w:tcPr>
            <w:tcW w:w="11907" w:type="dxa"/>
            <w:vAlign w:val="center"/>
            <w:hideMark/>
          </w:tcPr>
          <w:p w:rsidR="00A376AB" w:rsidRDefault="00A376AB" w:rsidP="000A0CD5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AB" w:rsidRPr="002862C4" w:rsidTr="000A0CD5">
        <w:trPr>
          <w:trHeight w:val="707"/>
        </w:trPr>
        <w:tc>
          <w:tcPr>
            <w:tcW w:w="11907" w:type="dxa"/>
            <w:vAlign w:val="center"/>
            <w:hideMark/>
          </w:tcPr>
          <w:p w:rsidR="00A376AB" w:rsidRDefault="00A376AB" w:rsidP="000A0CD5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Большая </w:t>
            </w:r>
            <w:proofErr w:type="spellStart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Пироговская</w:t>
            </w:r>
            <w:proofErr w:type="spellEnd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 ул., д. 27, стр. 3, г. Москва, Россия, 119435</w:t>
            </w:r>
          </w:p>
          <w:p w:rsidR="00A376AB" w:rsidRDefault="00A376AB" w:rsidP="000A0CD5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A376AB" w:rsidRDefault="00A376AB" w:rsidP="000A0CD5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126D19" w:rsidRDefault="00126D19" w:rsidP="00126D19">
      <w:pPr>
        <w:rPr>
          <w:color w:val="365F91"/>
        </w:rPr>
      </w:pPr>
    </w:p>
    <w:p w:rsidR="004465FA" w:rsidRPr="008F3532" w:rsidRDefault="004465FA" w:rsidP="004465FA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C44837">
        <w:rPr>
          <w:color w:val="365F91"/>
        </w:rPr>
        <w:t>1</w:t>
      </w:r>
      <w:r w:rsidR="008F3532" w:rsidRPr="008F3532">
        <w:rPr>
          <w:color w:val="365F91"/>
        </w:rPr>
        <w:t>6</w:t>
      </w:r>
      <w:r w:rsidRPr="005C1B88">
        <w:rPr>
          <w:color w:val="365F91"/>
        </w:rPr>
        <w:t>»</w:t>
      </w:r>
      <w:r w:rsidR="00AA267B" w:rsidRPr="00AA267B">
        <w:rPr>
          <w:color w:val="365F91"/>
        </w:rPr>
        <w:t xml:space="preserve"> </w:t>
      </w:r>
      <w:r w:rsidR="000F6AB4">
        <w:rPr>
          <w:color w:val="365F91"/>
        </w:rPr>
        <w:t>апреля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9F2321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A376AB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A376AB">
        <w:rPr>
          <w:color w:val="365F91"/>
        </w:rPr>
        <w:t xml:space="preserve">        </w:t>
      </w:r>
      <w:r>
        <w:rPr>
          <w:color w:val="365F91"/>
        </w:rPr>
        <w:t>№</w:t>
      </w:r>
      <w:r w:rsidR="00BD4AC2">
        <w:rPr>
          <w:color w:val="365F91"/>
        </w:rPr>
        <w:t>13</w:t>
      </w:r>
      <w:r w:rsidR="000F6AB4" w:rsidRPr="00CA74F5">
        <w:rPr>
          <w:color w:val="365F91"/>
        </w:rPr>
        <w:t>2</w:t>
      </w:r>
      <w:r w:rsidR="00C44837">
        <w:rPr>
          <w:color w:val="365F91"/>
        </w:rPr>
        <w:t>75</w:t>
      </w:r>
      <w:r w:rsidR="008F3532">
        <w:rPr>
          <w:color w:val="365F91"/>
          <w:lang w:val="en-US"/>
        </w:rPr>
        <w:t>-2</w:t>
      </w:r>
    </w:p>
    <w:p w:rsidR="005F2017" w:rsidRPr="005A4EAE" w:rsidRDefault="005F2017" w:rsidP="005B00C9">
      <w:pPr>
        <w:jc w:val="center"/>
        <w:rPr>
          <w:b/>
        </w:rPr>
      </w:pPr>
      <w:r w:rsidRPr="005A4EAE">
        <w:rPr>
          <w:b/>
        </w:rPr>
        <w:t>УВЕДОМЛЕНИЕ</w:t>
      </w:r>
    </w:p>
    <w:p w:rsidR="00FD60C4" w:rsidRPr="00BD4AC2" w:rsidRDefault="00FD60C4" w:rsidP="005B00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102B">
        <w:rPr>
          <w:b/>
        </w:rPr>
        <w:t xml:space="preserve">о </w:t>
      </w:r>
      <w:r w:rsidR="009F2321" w:rsidRPr="009F2321">
        <w:rPr>
          <w:b/>
        </w:rPr>
        <w:t>переносе вскрытия конвертов</w:t>
      </w:r>
      <w:r w:rsidR="00BD4AC2" w:rsidRPr="00BD4AC2">
        <w:rPr>
          <w:b/>
        </w:rPr>
        <w:t xml:space="preserve"> </w:t>
      </w:r>
    </w:p>
    <w:p w:rsidR="00E75C4C" w:rsidRPr="005A4EAE" w:rsidRDefault="00E75C4C" w:rsidP="005B00C9">
      <w:pPr>
        <w:widowControl w:val="0"/>
        <w:autoSpaceDE w:val="0"/>
        <w:autoSpaceDN w:val="0"/>
        <w:adjustRightInd w:val="0"/>
        <w:jc w:val="center"/>
      </w:pPr>
    </w:p>
    <w:p w:rsidR="002B3B71" w:rsidRPr="005A4EAE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5A4EAE">
        <w:t xml:space="preserve">       </w:t>
      </w:r>
    </w:p>
    <w:p w:rsidR="00815821" w:rsidRPr="00BD4AC2" w:rsidRDefault="00B20C37" w:rsidP="009F2321">
      <w:pPr>
        <w:jc w:val="both"/>
      </w:pPr>
      <w:r w:rsidRPr="005A4EAE">
        <w:t xml:space="preserve"> </w:t>
      </w:r>
      <w:r w:rsidR="00A376AB">
        <w:tab/>
      </w:r>
      <w:r w:rsidR="00D02788" w:rsidRPr="005A4EAE">
        <w:rPr>
          <w:bCs/>
        </w:rPr>
        <w:t>В целях удовлетворения нужд Заказчика</w:t>
      </w:r>
      <w:r w:rsidR="00514D3D" w:rsidRPr="005A4EAE">
        <w:rPr>
          <w:bCs/>
        </w:rPr>
        <w:t xml:space="preserve"> -</w:t>
      </w:r>
      <w:r w:rsidR="00514D3D" w:rsidRPr="005A4EAE">
        <w:t xml:space="preserve"> </w:t>
      </w:r>
      <w:r w:rsidR="007F1FF1" w:rsidRPr="007F1FF1">
        <w:t>АО «Интер РАО-</w:t>
      </w:r>
      <w:proofErr w:type="spellStart"/>
      <w:r w:rsidR="007F1FF1" w:rsidRPr="007F1FF1">
        <w:t>Электрогенерация</w:t>
      </w:r>
      <w:proofErr w:type="spellEnd"/>
      <w:r w:rsidR="007F1FF1" w:rsidRPr="007F1FF1">
        <w:t>»</w:t>
      </w:r>
      <w:r w:rsidR="005A4EAE" w:rsidRPr="005A4EAE">
        <w:t xml:space="preserve">, Организатор закупки ― ООО «Интер РАО ― Центр управления закупками» (119435, г. Москва, ул. Б. </w:t>
      </w:r>
      <w:proofErr w:type="spellStart"/>
      <w:r w:rsidR="005A4EAE" w:rsidRPr="005A4EAE">
        <w:t>Пироговская</w:t>
      </w:r>
      <w:proofErr w:type="spellEnd"/>
      <w:r w:rsidR="005A4EAE" w:rsidRPr="005A4EAE">
        <w:t xml:space="preserve">, д. 27, стр. 3), на основании п.3.4. Закупочной документации по открытому запросу предложений на право заключения договора </w:t>
      </w:r>
      <w:r w:rsidR="00CA74F5">
        <w:t xml:space="preserve">на </w:t>
      </w:r>
      <w:r w:rsidR="00CA74F5" w:rsidRPr="00CA74F5">
        <w:t xml:space="preserve">выполнение работ по разработке проекта и монтажу системы автоматической пожарной сигнализации  для нужд филиала «Каширская ГРЭС» АО «Интер РАО – </w:t>
      </w:r>
      <w:proofErr w:type="spellStart"/>
      <w:r w:rsidR="00CA74F5" w:rsidRPr="00CA74F5">
        <w:t>Электрогенерация</w:t>
      </w:r>
      <w:proofErr w:type="spellEnd"/>
      <w:r w:rsidR="00CA74F5" w:rsidRPr="00CA74F5">
        <w:t>»</w:t>
      </w:r>
      <w:r w:rsidR="005A4EAE" w:rsidRPr="005A4EAE">
        <w:t xml:space="preserve">, </w:t>
      </w:r>
      <w:r w:rsidR="004465FA" w:rsidRPr="005A4EAE">
        <w:t xml:space="preserve">настоящим сообщает о </w:t>
      </w:r>
      <w:r w:rsidR="009F2321" w:rsidRPr="009F2321">
        <w:t>переносе вскрытия конвертов</w:t>
      </w:r>
      <w:r w:rsidR="004465FA" w:rsidRPr="00BD4AC2">
        <w:t>.</w:t>
      </w:r>
      <w:r w:rsidR="00514D3D" w:rsidRPr="00BD4AC2">
        <w:t xml:space="preserve"> </w:t>
      </w:r>
      <w:r w:rsidR="00B67D29" w:rsidRPr="00BD4AC2">
        <w:t xml:space="preserve"> </w:t>
      </w:r>
    </w:p>
    <w:p w:rsidR="002C102B" w:rsidRDefault="002C102B" w:rsidP="00931848">
      <w:pPr>
        <w:jc w:val="both"/>
      </w:pPr>
    </w:p>
    <w:p w:rsidR="00CB6978" w:rsidRPr="009F2321" w:rsidRDefault="00CF5C10" w:rsidP="009218DF">
      <w:pPr>
        <w:ind w:firstLine="709"/>
        <w:jc w:val="both"/>
        <w:rPr>
          <w:b/>
          <w:bCs/>
        </w:rPr>
      </w:pPr>
      <w:r w:rsidRPr="009F2321">
        <w:rPr>
          <w:b/>
          <w:bCs/>
        </w:rPr>
        <w:t>Просим читать Извещение в следующей редакции:</w:t>
      </w:r>
    </w:p>
    <w:p w:rsidR="00CA74F5" w:rsidRPr="00856887" w:rsidRDefault="00CA74F5" w:rsidP="00CA74F5">
      <w:pPr>
        <w:tabs>
          <w:tab w:val="num" w:pos="432"/>
          <w:tab w:val="num" w:pos="567"/>
        </w:tabs>
        <w:contextualSpacing/>
        <w:jc w:val="both"/>
        <w:outlineLvl w:val="0"/>
      </w:pPr>
      <w:bookmarkStart w:id="0" w:name="_Toc422209960"/>
      <w:bookmarkStart w:id="1" w:name="_Toc422226780"/>
      <w:bookmarkStart w:id="2" w:name="_Toc422244132"/>
      <w:r>
        <w:rPr>
          <w:b/>
        </w:rPr>
        <w:t>13. Место</w:t>
      </w:r>
      <w:r w:rsidRPr="00856887">
        <w:rPr>
          <w:b/>
        </w:rPr>
        <w:t>, дата начала и дата окончания срока подачи заявок на участие в закупке:</w:t>
      </w:r>
      <w:bookmarkEnd w:id="0"/>
      <w:bookmarkEnd w:id="1"/>
      <w:bookmarkEnd w:id="2"/>
      <w:r w:rsidRPr="00856887">
        <w:t xml:space="preserve"> </w:t>
      </w:r>
    </w:p>
    <w:p w:rsidR="00CA74F5" w:rsidRDefault="00CA74F5" w:rsidP="00CA74F5">
      <w:pPr>
        <w:tabs>
          <w:tab w:val="num" w:pos="567"/>
        </w:tabs>
        <w:ind w:left="709"/>
        <w:contextualSpacing/>
        <w:jc w:val="both"/>
        <w:outlineLvl w:val="0"/>
      </w:pPr>
      <w:bookmarkStart w:id="3" w:name="_Toc422209961"/>
      <w:bookmarkStart w:id="4" w:name="_Toc422226781"/>
      <w:bookmarkStart w:id="5" w:name="_Toc422244133"/>
      <w:r w:rsidRPr="00856887">
        <w:t xml:space="preserve">Заявки на участие в закупке должны быть поданы до </w:t>
      </w:r>
      <w:r w:rsidRPr="007F3E6F">
        <w:rPr>
          <w:b/>
        </w:rPr>
        <w:t>10:</w:t>
      </w:r>
      <w:r>
        <w:rPr>
          <w:b/>
        </w:rPr>
        <w:t>0</w:t>
      </w:r>
      <w:r w:rsidRPr="007F3E6F">
        <w:rPr>
          <w:b/>
        </w:rPr>
        <w:t>0 (по московскому времени) «</w:t>
      </w:r>
      <w:r w:rsidR="008F3532" w:rsidRPr="008F3532">
        <w:rPr>
          <w:b/>
        </w:rPr>
        <w:t>23</w:t>
      </w:r>
      <w:r>
        <w:rPr>
          <w:b/>
        </w:rPr>
        <w:t>» апреля</w:t>
      </w:r>
      <w:r w:rsidRPr="007F3E6F">
        <w:rPr>
          <w:b/>
        </w:rPr>
        <w:t xml:space="preserve"> 2018 года</w:t>
      </w:r>
      <w:r w:rsidRPr="00856887">
        <w:t xml:space="preserve"> через соответствующий функционал электронной торговой площадки</w:t>
      </w:r>
      <w:r>
        <w:t xml:space="preserve"> </w:t>
      </w:r>
      <w:hyperlink r:id="rId9" w:history="1">
        <w:r w:rsidRPr="00171732">
          <w:rPr>
            <w:rStyle w:val="a8"/>
            <w:b/>
            <w:shd w:val="clear" w:color="auto" w:fill="C6D9F1" w:themeFill="text2" w:themeFillTint="33"/>
          </w:rPr>
          <w:t>https://com.roseltorg.ru</w:t>
        </w:r>
      </w:hyperlink>
      <w:r w:rsidRPr="00856887">
        <w:t xml:space="preserve">. Организатор </w:t>
      </w:r>
      <w:r w:rsidRPr="003B1890">
        <w:t>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CA74F5" w:rsidRDefault="00CA74F5" w:rsidP="00CA74F5">
      <w:pPr>
        <w:tabs>
          <w:tab w:val="num" w:pos="567"/>
        </w:tabs>
        <w:ind w:left="709"/>
        <w:contextualSpacing/>
        <w:jc w:val="both"/>
        <w:outlineLvl w:val="0"/>
      </w:pPr>
    </w:p>
    <w:p w:rsidR="00CA74F5" w:rsidRPr="00AA2762" w:rsidRDefault="00CA74F5" w:rsidP="00CA74F5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6" w:name="_Toc422209962"/>
      <w:bookmarkStart w:id="7" w:name="_Toc422226782"/>
      <w:bookmarkStart w:id="8" w:name="_Toc422244134"/>
      <w:r>
        <w:rPr>
          <w:b/>
        </w:rPr>
        <w:t xml:space="preserve">14. Дата и место рассмотрения </w:t>
      </w:r>
      <w:r w:rsidRPr="00AF33C1">
        <w:rPr>
          <w:b/>
        </w:rPr>
        <w:t>заявок</w:t>
      </w:r>
      <w:r w:rsidRPr="00BA5847">
        <w:t xml:space="preserve"> </w:t>
      </w:r>
      <w:r w:rsidRPr="00BA5847">
        <w:rPr>
          <w:b/>
        </w:rPr>
        <w:t>на участие в закупке:</w:t>
      </w:r>
      <w:bookmarkEnd w:id="6"/>
      <w:bookmarkEnd w:id="7"/>
      <w:bookmarkEnd w:id="8"/>
    </w:p>
    <w:p w:rsidR="00CA74F5" w:rsidRPr="001C25FD" w:rsidRDefault="00CA74F5" w:rsidP="00CA74F5">
      <w:pPr>
        <w:pStyle w:val="ac"/>
        <w:spacing w:before="60" w:after="60"/>
        <w:ind w:left="709"/>
        <w:contextualSpacing w:val="0"/>
        <w:jc w:val="both"/>
        <w:outlineLvl w:val="0"/>
      </w:pPr>
      <w:bookmarkStart w:id="9" w:name="_Toc422209967"/>
      <w:bookmarkStart w:id="10" w:name="_Toc422226787"/>
      <w:bookmarkStart w:id="11" w:name="_Toc422244139"/>
      <w:r w:rsidRPr="001C25FD">
        <w:t>Организатор закупки начнет рассмотрение заявок с проведения процедуры вскрытия заявок на участие в закупке в 1</w:t>
      </w:r>
      <w:r>
        <w:t>0</w:t>
      </w:r>
      <w:r w:rsidRPr="001C25FD">
        <w:t>:</w:t>
      </w:r>
      <w:r>
        <w:t>0</w:t>
      </w:r>
      <w:r w:rsidRPr="001C25FD">
        <w:t xml:space="preserve">0 (по московскому времени) </w:t>
      </w:r>
      <w:r w:rsidRPr="00226F43">
        <w:t>«</w:t>
      </w:r>
      <w:r w:rsidR="008F3532" w:rsidRPr="008F3532">
        <w:t>23</w:t>
      </w:r>
      <w:bookmarkStart w:id="12" w:name="_GoBack"/>
      <w:bookmarkEnd w:id="12"/>
      <w:r w:rsidRPr="00226F43">
        <w:t xml:space="preserve">» апреля </w:t>
      </w:r>
      <w:r w:rsidRPr="007F3E6F">
        <w:t>2018 года</w:t>
      </w:r>
      <w:r w:rsidRPr="001C25FD">
        <w:t>, в порядке определенном инструкциями и регламентом электронной торговой площадки.</w:t>
      </w:r>
      <w:bookmarkEnd w:id="9"/>
      <w:bookmarkEnd w:id="10"/>
      <w:bookmarkEnd w:id="11"/>
    </w:p>
    <w:p w:rsidR="00CA74F5" w:rsidRPr="001C25FD" w:rsidRDefault="00CA74F5" w:rsidP="00CA74F5">
      <w:pPr>
        <w:pStyle w:val="ac"/>
        <w:spacing w:before="60" w:after="60"/>
        <w:ind w:left="709"/>
        <w:contextualSpacing w:val="0"/>
        <w:jc w:val="both"/>
        <w:outlineLvl w:val="0"/>
      </w:pPr>
      <w:bookmarkStart w:id="13" w:name="_Toc422209968"/>
      <w:bookmarkStart w:id="14" w:name="_Toc422226788"/>
      <w:bookmarkStart w:id="15" w:name="_Toc422244140"/>
      <w:r w:rsidRPr="001C25FD">
        <w:t xml:space="preserve">Дальнейшее рассмотрение заявок на участие в закупке будет проводиться по адресу Организатора закупки в порядке, </w:t>
      </w:r>
      <w:r w:rsidRPr="001C25FD">
        <w:rPr>
          <w:rStyle w:val="FontStyle128"/>
        </w:rPr>
        <w:t xml:space="preserve">установленном в </w:t>
      </w:r>
      <w:r w:rsidRPr="001C25FD">
        <w:t>Разделе 4  «Порядок проведения закупки» Закупочной документации.</w:t>
      </w:r>
      <w:bookmarkEnd w:id="13"/>
      <w:bookmarkEnd w:id="14"/>
      <w:bookmarkEnd w:id="15"/>
    </w:p>
    <w:p w:rsidR="00CA74F5" w:rsidRPr="001C25FD" w:rsidRDefault="00CA74F5" w:rsidP="00CA74F5">
      <w:pPr>
        <w:ind w:left="709"/>
        <w:contextualSpacing/>
        <w:jc w:val="both"/>
        <w:outlineLvl w:val="0"/>
      </w:pPr>
      <w:bookmarkStart w:id="16" w:name="_Toc422209969"/>
      <w:bookmarkStart w:id="17" w:name="_Toc422226789"/>
      <w:bookmarkStart w:id="18" w:name="_Toc422244141"/>
      <w:r w:rsidRPr="001C25FD">
        <w:t>Организатор закупки вправе, при необходимости, изменить указанную дату и место</w:t>
      </w:r>
      <w:r w:rsidRPr="001C25FD">
        <w:rPr>
          <w:b/>
        </w:rPr>
        <w:t xml:space="preserve"> </w:t>
      </w:r>
      <w:r w:rsidRPr="001C25FD">
        <w:t>рассмотрения заявок на участие в закупке.</w:t>
      </w:r>
      <w:bookmarkEnd w:id="16"/>
      <w:bookmarkEnd w:id="17"/>
      <w:bookmarkEnd w:id="18"/>
    </w:p>
    <w:p w:rsidR="00CB6978" w:rsidRPr="000F6AB4" w:rsidRDefault="00CB6978" w:rsidP="000F6AB4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D02788" w:rsidRPr="005A4EAE" w:rsidRDefault="00D02788" w:rsidP="00D02788">
      <w:pPr>
        <w:autoSpaceDE w:val="0"/>
        <w:autoSpaceDN w:val="0"/>
        <w:jc w:val="both"/>
        <w:outlineLvl w:val="0"/>
      </w:pPr>
      <w:r w:rsidRPr="005A4EAE">
        <w:rPr>
          <w:bCs/>
          <w:color w:val="000000"/>
        </w:rPr>
        <w:t>Секретарь Закупочной комиссии</w:t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="00F664C6" w:rsidRPr="005A4EAE">
        <w:tab/>
      </w:r>
      <w:r w:rsidR="00F664C6" w:rsidRPr="005A4EAE">
        <w:tab/>
        <w:t xml:space="preserve">           </w:t>
      </w:r>
      <w:r w:rsidR="00F664C6" w:rsidRPr="005A4EAE">
        <w:tab/>
        <w:t xml:space="preserve">               </w:t>
      </w:r>
      <w:r w:rsidR="0051478E" w:rsidRPr="005A4EAE">
        <w:t>Ларина Ю.С.</w:t>
      </w:r>
    </w:p>
    <w:p w:rsidR="00D02788" w:rsidRPr="005A4EAE" w:rsidRDefault="00D02788" w:rsidP="00D02788">
      <w:pPr>
        <w:autoSpaceDE w:val="0"/>
        <w:autoSpaceDN w:val="0"/>
        <w:jc w:val="both"/>
        <w:outlineLvl w:val="0"/>
      </w:pPr>
    </w:p>
    <w:p w:rsidR="00D02788" w:rsidRPr="00514D3D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Pr="00514D3D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75C4C" w:rsidRPr="00514D3D" w:rsidRDefault="00E75C4C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F664C6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E75C4C" w:rsidRPr="00F664C6" w:rsidRDefault="00E75C4C" w:rsidP="00E75C4C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F664C6">
        <w:rPr>
          <w:sz w:val="16"/>
          <w:szCs w:val="16"/>
        </w:rPr>
        <w:t>(495) 664-88-40 доб. 3</w:t>
      </w:r>
      <w:r>
        <w:rPr>
          <w:sz w:val="16"/>
          <w:szCs w:val="16"/>
        </w:rPr>
        <w:t>188</w:t>
      </w:r>
    </w:p>
    <w:p w:rsidR="00E75C4C" w:rsidRPr="00F664C6" w:rsidRDefault="00E75C4C" w:rsidP="00E75C4C">
      <w:pPr>
        <w:autoSpaceDE w:val="0"/>
        <w:autoSpaceDN w:val="0"/>
        <w:jc w:val="both"/>
        <w:outlineLvl w:val="0"/>
      </w:pPr>
      <w:r>
        <w:rPr>
          <w:sz w:val="16"/>
          <w:szCs w:val="16"/>
          <w:lang w:val="en-US"/>
        </w:rPr>
        <w:t>titov_as</w:t>
      </w:r>
      <w:r w:rsidRPr="00F664C6">
        <w:rPr>
          <w:sz w:val="16"/>
          <w:szCs w:val="16"/>
          <w:lang w:val="en-US"/>
        </w:rPr>
        <w:t>@interrao.ru</w:t>
      </w:r>
      <w:r w:rsidRPr="00F664C6">
        <w:rPr>
          <w:sz w:val="16"/>
          <w:szCs w:val="16"/>
        </w:rPr>
        <w:tab/>
      </w:r>
    </w:p>
    <w:p w:rsidR="0051478E" w:rsidRPr="00514D3D" w:rsidRDefault="0051478E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51478E" w:rsidRPr="00514D3D" w:rsidRDefault="0051478E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514D3D" w:rsidSect="00037132">
      <w:footerReference w:type="default" r:id="rId10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00" w:rsidRDefault="00593F00" w:rsidP="00332CF4">
      <w:r>
        <w:separator/>
      </w:r>
    </w:p>
  </w:endnote>
  <w:endnote w:type="continuationSeparator" w:id="0">
    <w:p w:rsidR="00593F00" w:rsidRDefault="00593F0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00" w:rsidRDefault="00593F00" w:rsidP="00332CF4">
      <w:r>
        <w:separator/>
      </w:r>
    </w:p>
  </w:footnote>
  <w:footnote w:type="continuationSeparator" w:id="0">
    <w:p w:rsidR="00593F00" w:rsidRDefault="00593F00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2"/>
  </w:num>
  <w:num w:numId="11">
    <w:abstractNumId w:val="19"/>
  </w:num>
  <w:num w:numId="12">
    <w:abstractNumId w:val="15"/>
  </w:num>
  <w:num w:numId="13">
    <w:abstractNumId w:val="28"/>
  </w:num>
  <w:num w:numId="14">
    <w:abstractNumId w:val="7"/>
  </w:num>
  <w:num w:numId="15">
    <w:abstractNumId w:val="5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1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5"/>
  </w:num>
  <w:num w:numId="26">
    <w:abstractNumId w:val="13"/>
  </w:num>
  <w:num w:numId="27">
    <w:abstractNumId w:val="24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3C5"/>
    <w:rsid w:val="00007862"/>
    <w:rsid w:val="00037132"/>
    <w:rsid w:val="0006250B"/>
    <w:rsid w:val="0007654D"/>
    <w:rsid w:val="00076934"/>
    <w:rsid w:val="0009031B"/>
    <w:rsid w:val="000A5F30"/>
    <w:rsid w:val="000F30CA"/>
    <w:rsid w:val="000F6AB4"/>
    <w:rsid w:val="00112808"/>
    <w:rsid w:val="00112DAF"/>
    <w:rsid w:val="00126D19"/>
    <w:rsid w:val="0017059C"/>
    <w:rsid w:val="00177236"/>
    <w:rsid w:val="00181335"/>
    <w:rsid w:val="00183F7D"/>
    <w:rsid w:val="001B5582"/>
    <w:rsid w:val="0023266F"/>
    <w:rsid w:val="002529DD"/>
    <w:rsid w:val="00254845"/>
    <w:rsid w:val="0027032D"/>
    <w:rsid w:val="002A424F"/>
    <w:rsid w:val="002B3B71"/>
    <w:rsid w:val="002B66C0"/>
    <w:rsid w:val="002C102B"/>
    <w:rsid w:val="002D1124"/>
    <w:rsid w:val="002F7B2D"/>
    <w:rsid w:val="00317156"/>
    <w:rsid w:val="00321BB3"/>
    <w:rsid w:val="00332CF4"/>
    <w:rsid w:val="00355168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478E"/>
    <w:rsid w:val="00514D3D"/>
    <w:rsid w:val="00542FF8"/>
    <w:rsid w:val="0055518E"/>
    <w:rsid w:val="0058305F"/>
    <w:rsid w:val="0058384E"/>
    <w:rsid w:val="00593F00"/>
    <w:rsid w:val="005A4EAE"/>
    <w:rsid w:val="005A6542"/>
    <w:rsid w:val="005B00C9"/>
    <w:rsid w:val="005B16D6"/>
    <w:rsid w:val="005C4E6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6C73FF"/>
    <w:rsid w:val="007433CF"/>
    <w:rsid w:val="00755C34"/>
    <w:rsid w:val="00774301"/>
    <w:rsid w:val="0078595A"/>
    <w:rsid w:val="007A746F"/>
    <w:rsid w:val="007B427F"/>
    <w:rsid w:val="007B4812"/>
    <w:rsid w:val="007C0488"/>
    <w:rsid w:val="007F1FF1"/>
    <w:rsid w:val="007F7F41"/>
    <w:rsid w:val="00815821"/>
    <w:rsid w:val="0084265D"/>
    <w:rsid w:val="00862777"/>
    <w:rsid w:val="008710B8"/>
    <w:rsid w:val="008A61D2"/>
    <w:rsid w:val="008A77B1"/>
    <w:rsid w:val="008D0F21"/>
    <w:rsid w:val="008D58F7"/>
    <w:rsid w:val="008E0FB6"/>
    <w:rsid w:val="008F3532"/>
    <w:rsid w:val="0090315C"/>
    <w:rsid w:val="009037EB"/>
    <w:rsid w:val="00906405"/>
    <w:rsid w:val="00911A29"/>
    <w:rsid w:val="00911F76"/>
    <w:rsid w:val="009121BD"/>
    <w:rsid w:val="0091407B"/>
    <w:rsid w:val="00921425"/>
    <w:rsid w:val="009218DF"/>
    <w:rsid w:val="00927CF7"/>
    <w:rsid w:val="00931848"/>
    <w:rsid w:val="00955501"/>
    <w:rsid w:val="00964FCB"/>
    <w:rsid w:val="009673FE"/>
    <w:rsid w:val="0098021D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9F2321"/>
    <w:rsid w:val="00A02234"/>
    <w:rsid w:val="00A05517"/>
    <w:rsid w:val="00A14EC5"/>
    <w:rsid w:val="00A26E35"/>
    <w:rsid w:val="00A26E4A"/>
    <w:rsid w:val="00A34441"/>
    <w:rsid w:val="00A376AB"/>
    <w:rsid w:val="00A47C20"/>
    <w:rsid w:val="00A50773"/>
    <w:rsid w:val="00A73811"/>
    <w:rsid w:val="00A74AB5"/>
    <w:rsid w:val="00A87EB4"/>
    <w:rsid w:val="00A96131"/>
    <w:rsid w:val="00A97B61"/>
    <w:rsid w:val="00AA267B"/>
    <w:rsid w:val="00AA42B7"/>
    <w:rsid w:val="00AC5162"/>
    <w:rsid w:val="00B01E82"/>
    <w:rsid w:val="00B11D63"/>
    <w:rsid w:val="00B16F16"/>
    <w:rsid w:val="00B17EA8"/>
    <w:rsid w:val="00B20C37"/>
    <w:rsid w:val="00B30237"/>
    <w:rsid w:val="00B30939"/>
    <w:rsid w:val="00B36106"/>
    <w:rsid w:val="00B67D29"/>
    <w:rsid w:val="00B70444"/>
    <w:rsid w:val="00B84895"/>
    <w:rsid w:val="00BA7320"/>
    <w:rsid w:val="00BC21A8"/>
    <w:rsid w:val="00BD4AC2"/>
    <w:rsid w:val="00BF51A6"/>
    <w:rsid w:val="00C15603"/>
    <w:rsid w:val="00C22530"/>
    <w:rsid w:val="00C24762"/>
    <w:rsid w:val="00C44837"/>
    <w:rsid w:val="00C7194E"/>
    <w:rsid w:val="00C71AB9"/>
    <w:rsid w:val="00C80D94"/>
    <w:rsid w:val="00C96EC2"/>
    <w:rsid w:val="00CA3A74"/>
    <w:rsid w:val="00CA74F5"/>
    <w:rsid w:val="00CB6978"/>
    <w:rsid w:val="00CC2362"/>
    <w:rsid w:val="00CD0562"/>
    <w:rsid w:val="00CE4D7B"/>
    <w:rsid w:val="00CF5C10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75C4C"/>
    <w:rsid w:val="00EA7ADD"/>
    <w:rsid w:val="00ED6540"/>
    <w:rsid w:val="00EE03BB"/>
    <w:rsid w:val="00EE07CE"/>
    <w:rsid w:val="00EE1184"/>
    <w:rsid w:val="00F04700"/>
    <w:rsid w:val="00F120B0"/>
    <w:rsid w:val="00F55A79"/>
    <w:rsid w:val="00F62368"/>
    <w:rsid w:val="00F664C6"/>
    <w:rsid w:val="00FA4242"/>
    <w:rsid w:val="00FC38A5"/>
    <w:rsid w:val="00FC5398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2</cp:revision>
  <cp:lastPrinted>2017-10-12T13:05:00Z</cp:lastPrinted>
  <dcterms:created xsi:type="dcterms:W3CDTF">2018-04-16T06:50:00Z</dcterms:created>
  <dcterms:modified xsi:type="dcterms:W3CDTF">2018-04-16T06:50:00Z</dcterms:modified>
</cp:coreProperties>
</file>