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8350FD" w:rsidRDefault="008350FD" w:rsidP="008350FD">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8350FD" w:rsidRPr="005E2246" w:rsidRDefault="008350FD" w:rsidP="008350FD">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8350FD" w:rsidRPr="005E2246" w:rsidRDefault="008350FD" w:rsidP="008350FD">
      <w:pPr>
        <w:spacing w:line="276" w:lineRule="auto"/>
        <w:ind w:left="6096"/>
        <w:jc w:val="both"/>
        <w:rPr>
          <w:sz w:val="20"/>
          <w:szCs w:val="20"/>
        </w:rPr>
      </w:pPr>
    </w:p>
    <w:p w:rsidR="008350FD" w:rsidRPr="005E2246" w:rsidRDefault="008350FD" w:rsidP="008350FD">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8350FD" w:rsidRPr="005E2246" w:rsidRDefault="008350FD" w:rsidP="008350FD">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8350FD" w:rsidP="008350FD">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034058" w:rsidRPr="00034058">
        <w:rPr>
          <w:b/>
        </w:rPr>
        <w:t xml:space="preserve">Капитальный ремонт гидромуфты питательного насоса HGC 5/1+8(H) </w:t>
      </w:r>
      <w:proofErr w:type="gramStart"/>
      <w:r w:rsidR="00034058" w:rsidRPr="00034058">
        <w:rPr>
          <w:b/>
        </w:rPr>
        <w:t>для</w:t>
      </w:r>
      <w:proofErr w:type="gramEnd"/>
      <w:r w:rsidR="00034058" w:rsidRPr="00034058">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Pr="009C6067" w:rsidRDefault="00DC3D43"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8" w:name="_Toc422209948"/>
      <w:bookmarkStart w:id="19" w:name="_Toc422226768"/>
      <w:bookmarkStart w:id="20"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1" w:name="_Toc422209949"/>
      <w:bookmarkStart w:id="22" w:name="_Toc422226769"/>
      <w:bookmarkStart w:id="23" w:name="_Toc422244121"/>
      <w:r w:rsidRPr="00AB706A">
        <w:rPr>
          <w:b/>
        </w:rPr>
        <w:t xml:space="preserve">2. </w:t>
      </w:r>
      <w:r w:rsidR="00775DE8" w:rsidRPr="00AB706A">
        <w:rPr>
          <w:b/>
        </w:rPr>
        <w:t>Нормативный документ, в соответствии с которым проводится закупка:</w:t>
      </w:r>
      <w:bookmarkEnd w:id="21"/>
      <w:bookmarkEnd w:id="22"/>
      <w:bookmarkEnd w:id="23"/>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 xml:space="preserve">Положение о порядке проведения регламентированных закупок товаров, работ, услуг для нужд АО «Интер РАО – Электрогенерация»,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4" w:name="_Toc422209951"/>
      <w:bookmarkStart w:id="25" w:name="_Toc422226771"/>
      <w:bookmarkStart w:id="26"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4"/>
      <w:bookmarkEnd w:id="25"/>
      <w:bookmarkEnd w:id="26"/>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7" w:name="_Toc422209952"/>
      <w:bookmarkStart w:id="28" w:name="_Toc422226772"/>
      <w:bookmarkStart w:id="29" w:name="_Toc422244124"/>
      <w:r w:rsidRPr="00676DE0">
        <w:t>АО «Интер РАО – Электрогенерация»</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7"/>
      <w:bookmarkEnd w:id="28"/>
      <w:bookmarkEnd w:id="29"/>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«Интер РАО – Электрогенерация»</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3933F8" w:rsidP="004C57DA">
      <w:pPr>
        <w:widowControl/>
        <w:tabs>
          <w:tab w:val="num" w:pos="567"/>
        </w:tabs>
        <w:autoSpaceDE/>
        <w:autoSpaceDN/>
        <w:adjustRightInd/>
        <w:contextualSpacing/>
        <w:jc w:val="both"/>
        <w:outlineLvl w:val="0"/>
      </w:pPr>
      <w:bookmarkStart w:id="30" w:name="_GoBack"/>
      <w:bookmarkEnd w:id="30"/>
      <w:r>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034058" w:rsidRPr="00034058">
        <w:t xml:space="preserve">Капитальный ремонт гидромуфты питательного насоса HGC 5/1+8(H) </w:t>
      </w:r>
      <w:proofErr w:type="gramStart"/>
      <w:r w:rsidR="00034058" w:rsidRPr="00034058">
        <w:t>для</w:t>
      </w:r>
      <w:proofErr w:type="gramEnd"/>
      <w:r w:rsidR="00034058" w:rsidRPr="00034058">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034058">
        <w:t>986 020,</w:t>
      </w:r>
      <w:r w:rsidR="00034058" w:rsidRPr="00034058">
        <w:t>74</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9"/>
      <w:bookmarkEnd w:id="10"/>
      <w:bookmarkEnd w:id="11"/>
      <w:bookmarkEnd w:id="12"/>
      <w:bookmarkEnd w:id="13"/>
      <w:bookmarkEnd w:id="14"/>
      <w:bookmarkEnd w:id="15"/>
      <w:bookmarkEnd w:id="16"/>
      <w:bookmarkEnd w:id="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38" w:rsidRDefault="009E5438" w:rsidP="00706E83">
      <w:r>
        <w:separator/>
      </w:r>
    </w:p>
  </w:endnote>
  <w:endnote w:type="continuationSeparator" w:id="0">
    <w:p w:rsidR="009E5438" w:rsidRDefault="009E5438"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6422B8"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6422B8">
          <w:rPr>
            <w:color w:val="4F81BD" w:themeColor="accent1"/>
            <w:sz w:val="20"/>
            <w:szCs w:val="20"/>
          </w:rPr>
          <w:t xml:space="preserve">Закупочная документация по закупке у единственного поставщика, на право заключения договора «Капитальный ремонт гидромуфты питательного насоса HGC 5/1+8(H) </w:t>
        </w:r>
        <w:proofErr w:type="gramStart"/>
        <w:r w:rsidRPr="006422B8">
          <w:rPr>
            <w:color w:val="4F81BD" w:themeColor="accent1"/>
            <w:sz w:val="20"/>
            <w:szCs w:val="20"/>
          </w:rPr>
          <w:t>для</w:t>
        </w:r>
        <w:proofErr w:type="gramEnd"/>
        <w:r w:rsidRPr="006422B8">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38" w:rsidRDefault="009E5438" w:rsidP="00706E83">
      <w:r>
        <w:separator/>
      </w:r>
    </w:p>
  </w:footnote>
  <w:footnote w:type="continuationSeparator" w:id="0">
    <w:p w:rsidR="009E5438" w:rsidRDefault="009E5438"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265012">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058"/>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012"/>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5335"/>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2B8"/>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0FD"/>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6F39"/>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5438"/>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2BA4"/>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079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4C07-0479-471A-BB5F-2E9D97EB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«Капитальный ремонт гидромуфты питательного насоса HGC 5/1+8(H) для Калининградской ТЭЦ-2»</dc:creator>
  <cp:lastModifiedBy>Руденко Евгений Александрович</cp:lastModifiedBy>
  <cp:revision>25</cp:revision>
  <cp:lastPrinted>2017-11-08T08:25:00Z</cp:lastPrinted>
  <dcterms:created xsi:type="dcterms:W3CDTF">2017-08-30T12:46:00Z</dcterms:created>
  <dcterms:modified xsi:type="dcterms:W3CDTF">2017-12-19T07:38:00Z</dcterms:modified>
</cp:coreProperties>
</file>