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8"/>
        <w:gridCol w:w="1304"/>
        <w:gridCol w:w="7380"/>
        <w:gridCol w:w="1701"/>
        <w:gridCol w:w="2269"/>
      </w:tblGrid>
      <w:tr w:rsidR="008601FE" w:rsidRPr="00984FC0" w:rsidTr="008601FE">
        <w:tc>
          <w:tcPr>
            <w:tcW w:w="675" w:type="dxa"/>
            <w:shd w:val="clear" w:color="auto" w:fill="auto"/>
            <w:vAlign w:val="center"/>
          </w:tcPr>
          <w:p w:rsidR="008601FE" w:rsidRPr="00EC7E12" w:rsidRDefault="008601FE" w:rsidP="00B01B7A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8601FE" w:rsidRPr="00984FC0" w:rsidTr="008601FE">
        <w:tc>
          <w:tcPr>
            <w:tcW w:w="675" w:type="dxa"/>
            <w:shd w:val="clear" w:color="auto" w:fill="auto"/>
            <w:vAlign w:val="center"/>
          </w:tcPr>
          <w:p w:rsidR="008601FE" w:rsidRDefault="008601FE" w:rsidP="00B01B7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601FE" w:rsidRPr="00892E95" w:rsidRDefault="008601FE" w:rsidP="00B01B7A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01FE" w:rsidRPr="00892E95" w:rsidRDefault="008601FE" w:rsidP="00B01B7A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8601FE" w:rsidRDefault="008601FE" w:rsidP="00B01B7A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8601FE" w:rsidRPr="00B8294C" w:rsidRDefault="008601FE" w:rsidP="00B01B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азот газообразный 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— 60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идкий — </w:t>
            </w: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азообразный — 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идкий — 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+/-5%.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8601FE" w:rsidRPr="00BA0692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>режим жидкостной – 90;</w:t>
            </w:r>
          </w:p>
          <w:p w:rsidR="008601FE" w:rsidRPr="00BA0692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 – 80.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8601FE" w:rsidRPr="00004BA8" w:rsidRDefault="008601FE" w:rsidP="008601FE">
            <w:pPr>
              <w:pStyle w:val="a6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8601FE" w:rsidRPr="00004BA8" w:rsidRDefault="008601FE" w:rsidP="008601FE">
            <w:pPr>
              <w:pStyle w:val="a6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 xml:space="preserve">режим жидкостной 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8601FE" w:rsidRPr="00286AB2" w:rsidRDefault="008601FE" w:rsidP="00B01B7A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lastRenderedPageBreak/>
              <w:t xml:space="preserve">Условия продажи: демонтаж и вывоз установки производится за счет сил и средств Покупателя. 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  <w:p w:rsidR="008601FE" w:rsidRPr="00BA0692" w:rsidRDefault="008601FE" w:rsidP="00B01B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01FE" w:rsidRPr="00E03D6A" w:rsidRDefault="00074628" w:rsidP="000746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2 096 433,33</w:t>
            </w:r>
            <w:r w:rsidR="008601FE">
              <w:rPr>
                <w:b/>
              </w:rPr>
              <w:t xml:space="preserve"> руб. (два миллиона </w:t>
            </w:r>
            <w:r>
              <w:rPr>
                <w:b/>
              </w:rPr>
              <w:t>девяносто шесть тысяч четыреста тридцать три</w:t>
            </w:r>
            <w:r w:rsidR="008601FE">
              <w:rPr>
                <w:b/>
              </w:rPr>
              <w:t xml:space="preserve"> рубл</w:t>
            </w:r>
            <w:r>
              <w:rPr>
                <w:b/>
              </w:rPr>
              <w:t>я</w:t>
            </w:r>
            <w:r w:rsidR="008601FE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8601FE">
              <w:rPr>
                <w:b/>
              </w:rPr>
              <w:t xml:space="preserve"> коп.)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01FE" w:rsidRPr="00984FC0" w:rsidRDefault="008601FE" w:rsidP="008D2577">
            <w:pPr>
              <w:jc w:val="center"/>
            </w:pPr>
            <w:r w:rsidRPr="008601FE">
              <w:rPr>
                <w:b/>
              </w:rPr>
              <w:t>2</w:t>
            </w:r>
            <w:r w:rsidR="004F125D">
              <w:rPr>
                <w:b/>
              </w:rPr>
              <w:t> 515 720</w:t>
            </w:r>
            <w:r w:rsidRPr="008601FE">
              <w:rPr>
                <w:b/>
              </w:rPr>
              <w:t xml:space="preserve">,00 руб. (два миллиона </w:t>
            </w:r>
            <w:r w:rsidR="004F125D">
              <w:rPr>
                <w:b/>
              </w:rPr>
              <w:t>пятьсот пятнадцать тысяч семьсот двадцать</w:t>
            </w:r>
            <w:r w:rsidRPr="008601FE">
              <w:rPr>
                <w:b/>
              </w:rPr>
              <w:t xml:space="preserve"> рублей 00 коп.)</w:t>
            </w:r>
            <w:r w:rsidRPr="008601FE">
              <w:t xml:space="preserve">, в том числе НДС (20%) – </w:t>
            </w:r>
            <w:r w:rsidR="008D2577">
              <w:t>419 286,67</w:t>
            </w:r>
            <w:r w:rsidRPr="008601FE">
              <w:t xml:space="preserve"> руб. (</w:t>
            </w:r>
            <w:r w:rsidR="008D2577" w:rsidRPr="008D2577">
              <w:t>четыреста девятнадцать тысяч двести восемьдесят шесть рублей 67 коп.</w:t>
            </w:r>
            <w:r w:rsidRPr="008601FE">
              <w:t>)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476533">
        <w:rPr>
          <w:rFonts w:ascii="Times New Roman" w:hAnsi="Times New Roman"/>
        </w:rPr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8D2577">
        <w:rPr>
          <w:rFonts w:ascii="Times New Roman" w:hAnsi="Times New Roman"/>
        </w:rPr>
        <w:t>27</w:t>
      </w:r>
      <w:r w:rsidRPr="00F63AFE">
        <w:rPr>
          <w:rFonts w:ascii="Times New Roman" w:hAnsi="Times New Roman"/>
        </w:rPr>
        <w:t xml:space="preserve">» </w:t>
      </w:r>
      <w:r w:rsidR="008601FE">
        <w:rPr>
          <w:rFonts w:ascii="Times New Roman" w:hAnsi="Times New Roman"/>
        </w:rPr>
        <w:t>ма</w:t>
      </w:r>
      <w:r w:rsidR="008D2577">
        <w:rPr>
          <w:rFonts w:ascii="Times New Roman" w:hAnsi="Times New Roman"/>
        </w:rPr>
        <w:t>я</w:t>
      </w:r>
      <w:r w:rsidRPr="00F63AFE">
        <w:rPr>
          <w:rFonts w:ascii="Times New Roman" w:hAnsi="Times New Roman"/>
        </w:rPr>
        <w:t xml:space="preserve"> 20</w:t>
      </w:r>
      <w:r w:rsidR="00463EE2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366CB8" w:rsidRPr="00C65A00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8D2577">
        <w:rPr>
          <w:rFonts w:ascii="Times New Roman" w:hAnsi="Times New Roman"/>
        </w:rPr>
        <w:t>27</w:t>
      </w:r>
      <w:r w:rsidRPr="00F63AFE">
        <w:rPr>
          <w:rFonts w:ascii="Times New Roman" w:hAnsi="Times New Roman"/>
        </w:rPr>
        <w:t xml:space="preserve">» </w:t>
      </w:r>
      <w:r w:rsidR="008D2577">
        <w:rPr>
          <w:rFonts w:ascii="Times New Roman" w:hAnsi="Times New Roman"/>
        </w:rPr>
        <w:t>мая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  <w:bookmarkStart w:id="0" w:name="_GoBack"/>
      <w:bookmarkEnd w:id="0"/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Организатор ориентировочно до </w:t>
      </w:r>
      <w:r w:rsidR="008601FE">
        <w:rPr>
          <w:rFonts w:ascii="Times New Roman" w:hAnsi="Times New Roman"/>
        </w:rPr>
        <w:t>25</w:t>
      </w:r>
      <w:r w:rsidR="00FB043A">
        <w:rPr>
          <w:rFonts w:ascii="Times New Roman" w:hAnsi="Times New Roman"/>
        </w:rPr>
        <w:t>.</w:t>
      </w:r>
      <w:r w:rsidR="00463EE2">
        <w:rPr>
          <w:rFonts w:ascii="Times New Roman" w:hAnsi="Times New Roman"/>
        </w:rPr>
        <w:t>0</w:t>
      </w:r>
      <w:r w:rsidR="00A74517">
        <w:rPr>
          <w:rFonts w:ascii="Times New Roman" w:hAnsi="Times New Roman"/>
        </w:rPr>
        <w:t>3</w:t>
      </w:r>
      <w:r w:rsidR="00FB043A">
        <w:rPr>
          <w:rFonts w:ascii="Times New Roman" w:hAnsi="Times New Roman"/>
        </w:rPr>
        <w:t>.201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</w:pPr>
      <w:r w:rsidRPr="00F63AFE">
        <w:br w:type="page"/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FC69D7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ED2AF0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С.А.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F0" w:rsidRDefault="00ED2AF0" w:rsidP="00F63AFE">
      <w:r>
        <w:separator/>
      </w:r>
    </w:p>
  </w:endnote>
  <w:endnote w:type="continuationSeparator" w:id="0">
    <w:p w:rsidR="00ED2AF0" w:rsidRDefault="00ED2AF0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F0" w:rsidRDefault="00ED2AF0" w:rsidP="00F63AFE">
      <w:r>
        <w:separator/>
      </w:r>
    </w:p>
  </w:footnote>
  <w:footnote w:type="continuationSeparator" w:id="0">
    <w:p w:rsidR="00ED2AF0" w:rsidRDefault="00ED2AF0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74628"/>
    <w:rsid w:val="000D6E87"/>
    <w:rsid w:val="00102620"/>
    <w:rsid w:val="00267880"/>
    <w:rsid w:val="00366CB8"/>
    <w:rsid w:val="00463EE2"/>
    <w:rsid w:val="00476533"/>
    <w:rsid w:val="004812D6"/>
    <w:rsid w:val="004F125D"/>
    <w:rsid w:val="00636773"/>
    <w:rsid w:val="00684927"/>
    <w:rsid w:val="006E2928"/>
    <w:rsid w:val="008601FE"/>
    <w:rsid w:val="008D2577"/>
    <w:rsid w:val="0091669D"/>
    <w:rsid w:val="0094768A"/>
    <w:rsid w:val="00A74517"/>
    <w:rsid w:val="00B87F26"/>
    <w:rsid w:val="00C65A00"/>
    <w:rsid w:val="00E55BF5"/>
    <w:rsid w:val="00EC5C19"/>
    <w:rsid w:val="00ED2AF0"/>
    <w:rsid w:val="00F63AFE"/>
    <w:rsid w:val="00F81F8C"/>
    <w:rsid w:val="00FB043A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9B69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D007-CF41-4D10-96CC-6664C083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10</cp:revision>
  <dcterms:created xsi:type="dcterms:W3CDTF">2018-10-22T09:10:00Z</dcterms:created>
  <dcterms:modified xsi:type="dcterms:W3CDTF">2019-04-26T09:25:00Z</dcterms:modified>
</cp:coreProperties>
</file>